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A661A9" w:rsidRPr="00A661A9" w:rsidRDefault="00A661A9"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808080"/>
          <w:sz w:val="22"/>
          <w:szCs w:val="22"/>
        </w:rPr>
      </w:pPr>
      <w:r w:rsidRPr="00A661A9">
        <w:rPr>
          <w:rFonts w:ascii="Calibri" w:eastAsia="Calibri" w:hAnsi="Calibri" w:cs="Calibri"/>
          <w:b/>
          <w:bCs/>
          <w:color w:val="000080"/>
          <w:sz w:val="22"/>
          <w:szCs w:val="22"/>
          <w:lang w:val="en-CA"/>
        </w:rPr>
        <w:t xml:space="preserve">Melissa Thomson </w:t>
      </w:r>
      <w:r w:rsidRPr="00A661A9">
        <w:rPr>
          <w:rFonts w:ascii="Calibri" w:eastAsia="Calibri" w:hAnsi="Calibri" w:cs="Calibri"/>
          <w:color w:val="595959"/>
          <w:sz w:val="22"/>
          <w:szCs w:val="22"/>
          <w:lang w:val="en-CA"/>
        </w:rPr>
        <w:t xml:space="preserve">RN, </w:t>
      </w:r>
      <w:proofErr w:type="spellStart"/>
      <w:r w:rsidRPr="00A661A9">
        <w:rPr>
          <w:rFonts w:ascii="Calibri" w:eastAsia="Calibri" w:hAnsi="Calibri" w:cs="Calibri"/>
          <w:color w:val="595959"/>
          <w:sz w:val="22"/>
          <w:szCs w:val="22"/>
          <w:lang w:val="en-CA"/>
        </w:rPr>
        <w:t>BScN</w:t>
      </w:r>
      <w:proofErr w:type="spellEnd"/>
      <w:r w:rsidRPr="00A661A9">
        <w:rPr>
          <w:rFonts w:ascii="Calibri" w:eastAsia="Calibri" w:hAnsi="Calibri" w:cs="Calibri"/>
          <w:color w:val="595959"/>
          <w:sz w:val="22"/>
          <w:szCs w:val="22"/>
          <w:lang w:val="en-CA"/>
        </w:rPr>
        <w:t>, MN</w:t>
      </w:r>
      <w:r w:rsidRPr="00A661A9">
        <w:rPr>
          <w:rFonts w:ascii="Calibri" w:eastAsia="Calibri" w:hAnsi="Calibri" w:cs="Calibri"/>
          <w:color w:val="000080"/>
          <w:sz w:val="22"/>
          <w:szCs w:val="22"/>
          <w:lang w:val="en-CA"/>
        </w:rPr>
        <w:t xml:space="preserve"> </w:t>
      </w:r>
      <w:r w:rsidRPr="00A661A9">
        <w:rPr>
          <w:rFonts w:ascii="Calibri" w:eastAsia="Calibri" w:hAnsi="Calibri" w:cs="Calibri"/>
          <w:color w:val="000000"/>
          <w:sz w:val="22"/>
          <w:szCs w:val="22"/>
        </w:rPr>
        <w:t xml:space="preserve">I </w:t>
      </w:r>
      <w:r w:rsidRPr="00A661A9">
        <w:rPr>
          <w:rFonts w:ascii="Calibri" w:eastAsia="Calibri" w:hAnsi="Calibri" w:cs="Calibri"/>
          <w:color w:val="595959"/>
          <w:sz w:val="22"/>
          <w:szCs w:val="22"/>
        </w:rPr>
        <w:t xml:space="preserve">Manager </w:t>
      </w:r>
    </w:p>
    <w:p w:rsidR="00A661A9" w:rsidRPr="00A661A9" w:rsidRDefault="00A661A9"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808080"/>
          <w:sz w:val="22"/>
          <w:szCs w:val="22"/>
        </w:rPr>
      </w:pPr>
      <w:r w:rsidRPr="00A661A9">
        <w:rPr>
          <w:rFonts w:ascii="Calibri" w:eastAsia="Calibri" w:hAnsi="Calibri" w:cs="Calibri"/>
          <w:b/>
          <w:bCs/>
          <w:color w:val="000080"/>
          <w:sz w:val="22"/>
          <w:szCs w:val="22"/>
          <w:lang w:val="en-CA"/>
        </w:rPr>
        <w:t>Grey Bruce Health Services</w:t>
      </w:r>
      <w:r w:rsidRPr="00A661A9">
        <w:rPr>
          <w:rFonts w:ascii="Calibri" w:eastAsia="Calibri" w:hAnsi="Calibri" w:cs="Calibri"/>
          <w:color w:val="808080"/>
          <w:sz w:val="22"/>
          <w:szCs w:val="22"/>
          <w:lang w:val="en-CA"/>
        </w:rPr>
        <w:t xml:space="preserve"> </w:t>
      </w:r>
      <w:r w:rsidRPr="00A661A9">
        <w:rPr>
          <w:rFonts w:ascii="Calibri" w:eastAsia="Calibri" w:hAnsi="Calibri" w:cs="Calibri"/>
          <w:color w:val="808080"/>
          <w:sz w:val="22"/>
          <w:szCs w:val="22"/>
        </w:rPr>
        <w:t xml:space="preserve">│ </w:t>
      </w:r>
      <w:r w:rsidRPr="00A661A9">
        <w:rPr>
          <w:rFonts w:ascii="Calibri" w:eastAsia="Calibri" w:hAnsi="Calibri" w:cs="Calibri"/>
          <w:color w:val="595959"/>
          <w:sz w:val="22"/>
          <w:szCs w:val="22"/>
        </w:rPr>
        <w:t>Lion’s Head and Wiarton Hospitals</w:t>
      </w:r>
      <w:r w:rsidRPr="00A661A9">
        <w:rPr>
          <w:rFonts w:ascii="Calibri" w:eastAsia="Calibri" w:hAnsi="Calibri" w:cs="Calibri"/>
          <w:color w:val="808080"/>
          <w:sz w:val="22"/>
          <w:szCs w:val="22"/>
        </w:rPr>
        <w:t xml:space="preserve"> </w:t>
      </w:r>
    </w:p>
    <w:p w:rsidR="00A661A9" w:rsidRPr="00A661A9" w:rsidRDefault="00A661A9"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747474"/>
          <w:sz w:val="22"/>
          <w:szCs w:val="22"/>
          <w:lang w:val="en-CA"/>
        </w:rPr>
      </w:pPr>
      <w:r w:rsidRPr="00A661A9">
        <w:rPr>
          <w:rFonts w:ascii="Calibri" w:eastAsia="Calibri" w:hAnsi="Calibri" w:cs="Calibri"/>
          <w:color w:val="000080"/>
          <w:sz w:val="22"/>
          <w:szCs w:val="22"/>
          <w:lang w:val="en-CA"/>
        </w:rPr>
        <w:t>T</w:t>
      </w:r>
      <w:r w:rsidRPr="00A661A9">
        <w:rPr>
          <w:rFonts w:ascii="Calibri" w:eastAsia="Calibri" w:hAnsi="Calibri" w:cs="Calibri"/>
          <w:color w:val="747474"/>
          <w:sz w:val="22"/>
          <w:szCs w:val="22"/>
          <w:lang w:val="en-CA"/>
        </w:rPr>
        <w:t xml:space="preserve"> </w:t>
      </w:r>
      <w:r w:rsidRPr="00A661A9">
        <w:rPr>
          <w:rFonts w:ascii="Calibri" w:eastAsia="Calibri" w:hAnsi="Calibri" w:cs="Calibri"/>
          <w:color w:val="595959"/>
          <w:sz w:val="22"/>
          <w:szCs w:val="22"/>
          <w:lang w:val="en-CA"/>
        </w:rPr>
        <w:t>519.534.1260 x5345</w:t>
      </w:r>
      <w:r w:rsidRPr="00A661A9">
        <w:rPr>
          <w:rFonts w:ascii="Calibri" w:eastAsia="Calibri" w:hAnsi="Calibri" w:cs="Calibri"/>
          <w:color w:val="747474"/>
          <w:sz w:val="22"/>
          <w:szCs w:val="22"/>
          <w:lang w:val="en-CA"/>
        </w:rPr>
        <w:t xml:space="preserve"> | </w:t>
      </w:r>
      <w:r w:rsidRPr="00A661A9">
        <w:rPr>
          <w:rFonts w:ascii="Calibri" w:eastAsia="Calibri" w:hAnsi="Calibri" w:cs="Calibri"/>
          <w:color w:val="000080"/>
          <w:sz w:val="22"/>
          <w:szCs w:val="22"/>
          <w:lang w:val="en-CA"/>
        </w:rPr>
        <w:t>F</w:t>
      </w:r>
      <w:r w:rsidRPr="00A661A9">
        <w:rPr>
          <w:rFonts w:ascii="Calibri" w:eastAsia="Calibri" w:hAnsi="Calibri" w:cs="Calibri"/>
          <w:color w:val="747474"/>
          <w:sz w:val="22"/>
          <w:szCs w:val="22"/>
          <w:lang w:val="en-CA"/>
        </w:rPr>
        <w:t xml:space="preserve"> </w:t>
      </w:r>
      <w:r w:rsidRPr="00A661A9">
        <w:rPr>
          <w:rFonts w:ascii="Calibri" w:eastAsia="Calibri" w:hAnsi="Calibri" w:cs="Calibri"/>
          <w:color w:val="595959"/>
          <w:sz w:val="22"/>
          <w:szCs w:val="22"/>
          <w:lang w:val="en-CA"/>
        </w:rPr>
        <w:t xml:space="preserve">519.534.5159 </w:t>
      </w:r>
    </w:p>
    <w:p w:rsidR="00A661A9" w:rsidRPr="00A661A9" w:rsidRDefault="00900620"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595959"/>
          <w:lang w:val="en-CA"/>
        </w:rPr>
      </w:pPr>
      <w:hyperlink r:id="rId4" w:history="1">
        <w:r w:rsidR="00A661A9" w:rsidRPr="00A661A9">
          <w:rPr>
            <w:rFonts w:ascii="Calibri" w:eastAsia="Calibri" w:hAnsi="Calibri" w:cs="Calibri"/>
            <w:color w:val="0000FF"/>
            <w:u w:val="single"/>
            <w:lang w:val="en-CA"/>
          </w:rPr>
          <w:t>www.gbhs.on.ca</w:t>
        </w:r>
      </w:hyperlink>
    </w:p>
    <w:p w:rsidR="00A661A9" w:rsidRPr="00A661A9" w:rsidRDefault="00A661A9"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1F497D"/>
          <w:sz w:val="22"/>
          <w:szCs w:val="22"/>
        </w:rPr>
      </w:pPr>
    </w:p>
    <w:p w:rsidR="00A661A9" w:rsidRPr="00A661A9" w:rsidRDefault="00A661A9" w:rsidP="00A661A9">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cs="Calibri"/>
          <w:color w:val="595959"/>
          <w:lang w:val="en-CA"/>
        </w:rPr>
      </w:pPr>
      <w:r w:rsidRPr="00A661A9">
        <w:rPr>
          <w:rFonts w:ascii="Calibri" w:eastAsia="Calibri" w:hAnsi="Calibri" w:cs="Calibri"/>
          <w:color w:val="595959"/>
          <w:lang w:val="en-CA"/>
        </w:rPr>
        <w:t xml:space="preserve">GBHS Lion’s Head │ GBHS </w:t>
      </w:r>
      <w:proofErr w:type="spellStart"/>
      <w:r w:rsidRPr="00A661A9">
        <w:rPr>
          <w:rFonts w:ascii="Calibri" w:eastAsia="Calibri" w:hAnsi="Calibri" w:cs="Calibri"/>
          <w:color w:val="595959"/>
          <w:lang w:val="en-CA"/>
        </w:rPr>
        <w:t>Markdale</w:t>
      </w:r>
      <w:proofErr w:type="spellEnd"/>
      <w:r w:rsidRPr="00A661A9">
        <w:rPr>
          <w:rFonts w:ascii="Calibri" w:eastAsia="Calibri" w:hAnsi="Calibri" w:cs="Calibri"/>
          <w:color w:val="595959"/>
          <w:lang w:val="en-CA"/>
        </w:rPr>
        <w:t xml:space="preserve"> │ GBHS </w:t>
      </w:r>
      <w:proofErr w:type="spellStart"/>
      <w:r w:rsidRPr="00A661A9">
        <w:rPr>
          <w:rFonts w:ascii="Calibri" w:eastAsia="Calibri" w:hAnsi="Calibri" w:cs="Calibri"/>
          <w:color w:val="595959"/>
          <w:lang w:val="en-CA"/>
        </w:rPr>
        <w:t>Meaford</w:t>
      </w:r>
      <w:proofErr w:type="spellEnd"/>
      <w:r w:rsidRPr="00A661A9">
        <w:rPr>
          <w:rFonts w:ascii="Calibri" w:eastAsia="Calibri" w:hAnsi="Calibri" w:cs="Calibri"/>
          <w:color w:val="595959"/>
          <w:lang w:val="en-CA"/>
        </w:rPr>
        <w:t> │ GBHS Owen Sound │ GBHS Southampton │ GBHS Wiarton</w:t>
      </w:r>
    </w:p>
    <w:p w:rsidR="00110148" w:rsidRDefault="00110148"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pPr>
      <w:r>
        <w:tab/>
      </w:r>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A661A9" w:rsidRDefault="00A661A9" w:rsidP="00A661A9">
      <w:pPr>
        <w:rPr>
          <w:sz w:val="24"/>
          <w:szCs w:val="24"/>
        </w:rPr>
      </w:pPr>
    </w:p>
    <w:p w:rsidR="00756A28" w:rsidRPr="00A661A9" w:rsidRDefault="00110148" w:rsidP="00A661A9">
      <w:pPr>
        <w:rPr>
          <w:rFonts w:asciiTheme="minorHAnsi" w:hAnsiTheme="minorHAnsi" w:cstheme="minorHAnsi"/>
          <w:sz w:val="22"/>
          <w:szCs w:val="22"/>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r w:rsidR="00A661A9" w:rsidRPr="00A661A9">
        <w:rPr>
          <w:rFonts w:asciiTheme="minorHAnsi" w:hAnsiTheme="minorHAnsi" w:cstheme="minorHAnsi"/>
          <w:sz w:val="22"/>
          <w:szCs w:val="22"/>
        </w:rPr>
        <w:t>September 9, 2020</w:t>
      </w:r>
    </w:p>
    <w:p w:rsidR="00110148" w:rsidRDefault="00110148" w:rsidP="00110148">
      <w:pPr>
        <w:rPr>
          <w:sz w:val="28"/>
          <w:szCs w:val="28"/>
        </w:rPr>
      </w:pPr>
      <w:r>
        <w:rPr>
          <w:sz w:val="24"/>
          <w:szCs w:val="24"/>
        </w:rPr>
        <w:tab/>
      </w:r>
      <w:r w:rsidR="00756A28">
        <w:rPr>
          <w:sz w:val="24"/>
          <w:szCs w:val="24"/>
        </w:rPr>
        <w:t xml:space="preserve"> </w:t>
      </w:r>
    </w:p>
    <w:p w:rsidR="00A661A9" w:rsidRPr="00A661A9" w:rsidRDefault="00110148" w:rsidP="00A661A9">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t> </w:t>
      </w:r>
    </w:p>
    <w:p w:rsidR="00A661A9" w:rsidRPr="00A661A9" w:rsidRDefault="00A661A9" w:rsidP="00A661A9">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Pr>
          <w:rFonts w:asciiTheme="minorHAnsi" w:hAnsiTheme="minorHAnsi" w:cstheme="minorHAnsi"/>
          <w:sz w:val="22"/>
          <w:szCs w:val="22"/>
        </w:rPr>
        <w:t xml:space="preserve">1. </w:t>
      </w:r>
      <w:r w:rsidRPr="00A661A9">
        <w:rPr>
          <w:rFonts w:asciiTheme="minorHAnsi" w:hAnsiTheme="minorHAnsi" w:cstheme="minorHAnsi"/>
          <w:sz w:val="22"/>
          <w:szCs w:val="22"/>
        </w:rPr>
        <w:t>Staff model for the Emergency Department of smaller rural hospitals annual visits of about 15,000 – 17,000?</w:t>
      </w:r>
    </w:p>
    <w:p w:rsidR="00110148" w:rsidRPr="00A661A9" w:rsidRDefault="00A661A9" w:rsidP="00A661A9">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Pr>
          <w:rFonts w:asciiTheme="minorHAnsi" w:hAnsiTheme="minorHAnsi" w:cstheme="minorHAnsi"/>
          <w:sz w:val="22"/>
          <w:szCs w:val="22"/>
        </w:rPr>
        <w:t xml:space="preserve">2. </w:t>
      </w:r>
      <w:r w:rsidRPr="00A661A9">
        <w:rPr>
          <w:rFonts w:asciiTheme="minorHAnsi" w:hAnsiTheme="minorHAnsi" w:cstheme="minorHAnsi"/>
          <w:sz w:val="22"/>
          <w:szCs w:val="22"/>
        </w:rPr>
        <w:t>How do Emergency Department of small rural hospitals (annual visits 15,000 – 17,000) deal with Triage and CTAS standards of 2 years’ experience before nursing can triage?</w:t>
      </w: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0"/>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sidR="00900620">
        <w:rPr>
          <w:sz w:val="22"/>
          <w:szCs w:val="22"/>
        </w:rPr>
      </w:r>
      <w:r w:rsidR="00900620">
        <w:rPr>
          <w:sz w:val="22"/>
          <w:szCs w:val="22"/>
        </w:rPr>
        <w:fldChar w:fldCharType="separate"/>
      </w:r>
      <w:r>
        <w:rPr>
          <w:sz w:val="22"/>
          <w:szCs w:val="22"/>
        </w:rPr>
        <w:fldChar w:fldCharType="end"/>
      </w:r>
      <w:bookmarkEnd w:id="4"/>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5"/>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900620">
        <w:rPr>
          <w:sz w:val="22"/>
          <w:szCs w:val="22"/>
        </w:rPr>
      </w:r>
      <w:r w:rsidR="00900620">
        <w:rPr>
          <w:sz w:val="22"/>
          <w:szCs w:val="22"/>
        </w:rPr>
        <w:fldChar w:fldCharType="separate"/>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sidR="00900620">
        <w:rPr>
          <w:sz w:val="22"/>
          <w:szCs w:val="22"/>
        </w:rPr>
      </w:r>
      <w:r w:rsidR="00900620">
        <w:rPr>
          <w:sz w:val="22"/>
          <w:szCs w:val="22"/>
        </w:rPr>
        <w:fldChar w:fldCharType="separate"/>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7913"/>
        <w:gridCol w:w="2154"/>
      </w:tblGrid>
      <w:tr w:rsidR="00110148" w:rsidRPr="009C78AE" w:rsidTr="002C4D62">
        <w:trPr>
          <w:trHeight w:val="904"/>
          <w:tblHeader/>
        </w:trPr>
        <w:tc>
          <w:tcPr>
            <w:tcW w:w="3137"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31" w:type="dxa"/>
            <w:tcBorders>
              <w:bottom w:val="single" w:sz="4" w:space="0" w:color="auto"/>
            </w:tcBorders>
            <w:shd w:val="clear" w:color="auto" w:fill="auto"/>
            <w:vAlign w:val="center"/>
          </w:tcPr>
          <w:p w:rsidR="00110148" w:rsidRPr="00B2513E" w:rsidRDefault="00110148" w:rsidP="002C4D62">
            <w:pPr>
              <w:rPr>
                <w:color w:val="000000"/>
              </w:rPr>
            </w:pPr>
          </w:p>
        </w:tc>
        <w:tc>
          <w:tcPr>
            <w:tcW w:w="2192"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2C4D62">
        <w:trPr>
          <w:trHeight w:val="516"/>
        </w:trPr>
        <w:tc>
          <w:tcPr>
            <w:tcW w:w="3137" w:type="dxa"/>
            <w:shd w:val="clear" w:color="auto" w:fill="auto"/>
          </w:tcPr>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 xml:space="preserve">AnneMarie VanSickle, RN, </w:t>
            </w:r>
            <w:proofErr w:type="spellStart"/>
            <w:r w:rsidRPr="00A661A9">
              <w:rPr>
                <w:rFonts w:asciiTheme="minorHAnsi" w:hAnsiTheme="minorHAnsi" w:cstheme="minorHAnsi"/>
                <w:sz w:val="22"/>
                <w:szCs w:val="22"/>
                <w:lang w:val="en-CA"/>
              </w:rPr>
              <w:t>BScN</w:t>
            </w:r>
            <w:proofErr w:type="spellEnd"/>
            <w:r w:rsidRPr="00A661A9">
              <w:rPr>
                <w:rFonts w:asciiTheme="minorHAnsi" w:hAnsiTheme="minorHAnsi" w:cstheme="minorHAnsi"/>
                <w:sz w:val="22"/>
                <w:szCs w:val="22"/>
                <w:lang w:val="en-CA"/>
              </w:rPr>
              <w:t>, MHA(Ed)</w:t>
            </w: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 xml:space="preserve">Director Emergency, </w:t>
            </w:r>
            <w:proofErr w:type="spellStart"/>
            <w:r w:rsidRPr="00A661A9">
              <w:rPr>
                <w:rFonts w:asciiTheme="minorHAnsi" w:hAnsiTheme="minorHAnsi" w:cstheme="minorHAnsi"/>
                <w:sz w:val="22"/>
                <w:szCs w:val="22"/>
                <w:lang w:val="en-CA"/>
              </w:rPr>
              <w:t>Periop</w:t>
            </w:r>
            <w:proofErr w:type="spellEnd"/>
            <w:r w:rsidRPr="00A661A9">
              <w:rPr>
                <w:rFonts w:asciiTheme="minorHAnsi" w:hAnsiTheme="minorHAnsi" w:cstheme="minorHAnsi"/>
                <w:sz w:val="22"/>
                <w:szCs w:val="22"/>
                <w:lang w:val="en-CA"/>
              </w:rPr>
              <w:t xml:space="preserve"> &amp; MDR</w:t>
            </w: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 xml:space="preserve">West </w:t>
            </w:r>
            <w:proofErr w:type="spellStart"/>
            <w:r w:rsidRPr="00A661A9">
              <w:rPr>
                <w:rFonts w:asciiTheme="minorHAnsi" w:hAnsiTheme="minorHAnsi" w:cstheme="minorHAnsi"/>
                <w:sz w:val="22"/>
                <w:szCs w:val="22"/>
                <w:lang w:val="en-CA"/>
              </w:rPr>
              <w:t>Haldimand</w:t>
            </w:r>
            <w:proofErr w:type="spellEnd"/>
            <w:r w:rsidRPr="00A661A9">
              <w:rPr>
                <w:rFonts w:asciiTheme="minorHAnsi" w:hAnsiTheme="minorHAnsi" w:cstheme="minorHAnsi"/>
                <w:sz w:val="22"/>
                <w:szCs w:val="22"/>
                <w:lang w:val="en-CA"/>
              </w:rPr>
              <w:t xml:space="preserve"> General Hospital</w:t>
            </w: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75 Parkview Road</w:t>
            </w:r>
          </w:p>
          <w:p w:rsidR="00A661A9" w:rsidRPr="00A661A9" w:rsidRDefault="00A661A9" w:rsidP="00A661A9">
            <w:pPr>
              <w:rPr>
                <w:rFonts w:asciiTheme="minorHAnsi" w:hAnsiTheme="minorHAnsi" w:cstheme="minorHAnsi"/>
                <w:sz w:val="22"/>
                <w:szCs w:val="22"/>
                <w:lang w:val="en-CA"/>
              </w:rPr>
            </w:pPr>
            <w:proofErr w:type="spellStart"/>
            <w:r w:rsidRPr="00A661A9">
              <w:rPr>
                <w:rFonts w:asciiTheme="minorHAnsi" w:hAnsiTheme="minorHAnsi" w:cstheme="minorHAnsi"/>
                <w:sz w:val="22"/>
                <w:szCs w:val="22"/>
                <w:lang w:val="en-CA"/>
              </w:rPr>
              <w:t>Hagersville</w:t>
            </w:r>
            <w:proofErr w:type="spellEnd"/>
            <w:r w:rsidRPr="00A661A9">
              <w:rPr>
                <w:rFonts w:asciiTheme="minorHAnsi" w:hAnsiTheme="minorHAnsi" w:cstheme="minorHAnsi"/>
                <w:sz w:val="22"/>
                <w:szCs w:val="22"/>
                <w:lang w:val="en-CA"/>
              </w:rPr>
              <w:t>, Ontario</w:t>
            </w: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lastRenderedPageBreak/>
              <w:t>N0A 1HO</w:t>
            </w:r>
          </w:p>
          <w:p w:rsidR="00A661A9" w:rsidRPr="00A661A9" w:rsidRDefault="00A661A9" w:rsidP="00A661A9">
            <w:pPr>
              <w:rPr>
                <w:rFonts w:asciiTheme="minorHAnsi" w:hAnsiTheme="minorHAnsi" w:cstheme="minorHAnsi"/>
                <w:sz w:val="22"/>
                <w:szCs w:val="22"/>
                <w:lang w:val="en-CA"/>
              </w:rPr>
            </w:pP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Tel:  (905) 768 3311</w:t>
            </w:r>
            <w:proofErr w:type="gramStart"/>
            <w:r w:rsidRPr="00A661A9">
              <w:rPr>
                <w:rFonts w:asciiTheme="minorHAnsi" w:hAnsiTheme="minorHAnsi" w:cstheme="minorHAnsi"/>
                <w:sz w:val="22"/>
                <w:szCs w:val="22"/>
                <w:lang w:val="en-CA"/>
              </w:rPr>
              <w:t>  Ext</w:t>
            </w:r>
            <w:proofErr w:type="gramEnd"/>
            <w:r w:rsidRPr="00A661A9">
              <w:rPr>
                <w:rFonts w:asciiTheme="minorHAnsi" w:hAnsiTheme="minorHAnsi" w:cstheme="minorHAnsi"/>
                <w:sz w:val="22"/>
                <w:szCs w:val="22"/>
                <w:lang w:val="en-CA"/>
              </w:rPr>
              <w:t>.  1147</w:t>
            </w:r>
          </w:p>
          <w:p w:rsidR="00A661A9" w:rsidRPr="00A661A9" w:rsidRDefault="00A661A9" w:rsidP="00A661A9">
            <w:pPr>
              <w:rPr>
                <w:rFonts w:asciiTheme="minorHAnsi" w:hAnsiTheme="minorHAnsi" w:cstheme="minorHAnsi"/>
                <w:sz w:val="22"/>
                <w:szCs w:val="22"/>
                <w:lang w:val="en-CA"/>
              </w:rPr>
            </w:pPr>
            <w:r w:rsidRPr="00A661A9">
              <w:rPr>
                <w:rFonts w:asciiTheme="minorHAnsi" w:hAnsiTheme="minorHAnsi" w:cstheme="minorHAnsi"/>
                <w:sz w:val="22"/>
                <w:szCs w:val="22"/>
                <w:lang w:val="en-CA"/>
              </w:rPr>
              <w:t>Fax: (905) 768 1820</w:t>
            </w:r>
          </w:p>
          <w:p w:rsidR="00110148" w:rsidRPr="00A661A9" w:rsidRDefault="00110148" w:rsidP="002C4D62">
            <w:pPr>
              <w:rPr>
                <w:rFonts w:asciiTheme="minorHAnsi" w:hAnsiTheme="minorHAnsi" w:cstheme="minorHAnsi"/>
                <w:sz w:val="22"/>
                <w:szCs w:val="22"/>
              </w:rPr>
            </w:pPr>
          </w:p>
        </w:tc>
        <w:tc>
          <w:tcPr>
            <w:tcW w:w="8531" w:type="dxa"/>
            <w:shd w:val="clear" w:color="auto" w:fill="auto"/>
          </w:tcPr>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lastRenderedPageBreak/>
              <w:t xml:space="preserve">Our visits are just over 17,000.  We have a helipad, all patient transfers (CT, consults, transfers </w:t>
            </w:r>
            <w:proofErr w:type="spellStart"/>
            <w:r w:rsidRPr="00A661A9">
              <w:rPr>
                <w:rFonts w:asciiTheme="minorHAnsi" w:hAnsiTheme="minorHAnsi" w:cstheme="minorHAnsi"/>
                <w:sz w:val="22"/>
                <w:szCs w:val="22"/>
                <w:lang w:val="en-CA"/>
              </w:rPr>
              <w:t>etc</w:t>
            </w:r>
            <w:proofErr w:type="spellEnd"/>
            <w:r w:rsidRPr="00A661A9">
              <w:rPr>
                <w:rFonts w:asciiTheme="minorHAnsi" w:hAnsiTheme="minorHAnsi" w:cstheme="minorHAnsi"/>
                <w:sz w:val="22"/>
                <w:szCs w:val="22"/>
                <w:lang w:val="en-CA"/>
              </w:rPr>
              <w:t xml:space="preserve"> all require a nurse to accompany as per our local EMS policy)</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Staffing</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0700 to 1900 – 2 RN</w:t>
            </w: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lastRenderedPageBreak/>
              <w:t>1900 to 0700 – 2 RN</w:t>
            </w: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0900 to 2100 – 1 RN</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1300 to 2100 – Ward Clerk</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0800 to 2000 – 1 family doc</w:t>
            </w: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2000 to 0800 – 1 family doc</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CTAS-Triage</w:t>
            </w:r>
          </w:p>
          <w:p w:rsidR="00A661A9" w:rsidRPr="00A661A9" w:rsidRDefault="00A661A9" w:rsidP="00A661A9">
            <w:pPr>
              <w:tabs>
                <w:tab w:val="left" w:pos="1170"/>
              </w:tabs>
              <w:rPr>
                <w:rFonts w:asciiTheme="minorHAnsi" w:hAnsiTheme="minorHAnsi" w:cstheme="minorHAnsi"/>
                <w:sz w:val="22"/>
                <w:szCs w:val="22"/>
                <w:lang w:val="en-CA"/>
              </w:rPr>
            </w:pPr>
          </w:p>
          <w:p w:rsidR="00A661A9" w:rsidRPr="00A661A9" w:rsidRDefault="00A661A9" w:rsidP="00A661A9">
            <w:pPr>
              <w:tabs>
                <w:tab w:val="left" w:pos="1170"/>
              </w:tabs>
              <w:rPr>
                <w:rFonts w:asciiTheme="minorHAnsi" w:hAnsiTheme="minorHAnsi" w:cstheme="minorHAnsi"/>
                <w:sz w:val="22"/>
                <w:szCs w:val="22"/>
                <w:lang w:val="en-CA"/>
              </w:rPr>
            </w:pPr>
            <w:r w:rsidRPr="00A661A9">
              <w:rPr>
                <w:rFonts w:asciiTheme="minorHAnsi" w:hAnsiTheme="minorHAnsi" w:cstheme="minorHAnsi"/>
                <w:sz w:val="22"/>
                <w:szCs w:val="22"/>
                <w:lang w:val="en-CA"/>
              </w:rPr>
              <w:t xml:space="preserve">All our nurses have to be able to triage (we don’t have a specific triage nurse). We have several nurses who have worked at the facility for many years.  We only recruit staff with Triage training </w:t>
            </w:r>
          </w:p>
          <w:p w:rsidR="00110148" w:rsidRPr="00A661A9" w:rsidRDefault="00110148" w:rsidP="00A661A9">
            <w:pPr>
              <w:tabs>
                <w:tab w:val="left" w:pos="1170"/>
              </w:tabs>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277"/>
        </w:trPr>
        <w:tc>
          <w:tcPr>
            <w:tcW w:w="3137" w:type="dxa"/>
            <w:shd w:val="clear" w:color="auto" w:fill="auto"/>
          </w:tcPr>
          <w:p w:rsidR="00A661A9" w:rsidRPr="00A661A9" w:rsidRDefault="00A661A9" w:rsidP="00A661A9">
            <w:pPr>
              <w:rPr>
                <w:rFonts w:asciiTheme="minorHAnsi" w:hAnsiTheme="minorHAnsi" w:cstheme="minorHAnsi"/>
                <w:b/>
                <w:bCs/>
                <w:sz w:val="22"/>
                <w:szCs w:val="22"/>
              </w:rPr>
            </w:pPr>
            <w:r w:rsidRPr="00A661A9">
              <w:rPr>
                <w:rFonts w:asciiTheme="minorHAnsi" w:hAnsiTheme="minorHAnsi" w:cstheme="minorHAnsi"/>
                <w:b/>
                <w:bCs/>
                <w:sz w:val="22"/>
                <w:szCs w:val="22"/>
              </w:rPr>
              <w:t xml:space="preserve">Mary-Lou Albers RN, </w:t>
            </w:r>
            <w:proofErr w:type="spellStart"/>
            <w:r w:rsidRPr="00A661A9">
              <w:rPr>
                <w:rFonts w:asciiTheme="minorHAnsi" w:hAnsiTheme="minorHAnsi" w:cstheme="minorHAnsi"/>
                <w:b/>
                <w:bCs/>
                <w:sz w:val="22"/>
                <w:szCs w:val="22"/>
              </w:rPr>
              <w:t>BScN</w:t>
            </w:r>
            <w:proofErr w:type="spellEnd"/>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Professional Practice and Education Coordinator</w:t>
            </w:r>
          </w:p>
          <w:p w:rsidR="00A661A9" w:rsidRPr="00A661A9" w:rsidRDefault="00A661A9" w:rsidP="00A661A9">
            <w:pPr>
              <w:rPr>
                <w:rFonts w:asciiTheme="minorHAnsi" w:hAnsiTheme="minorHAnsi" w:cstheme="minorHAnsi"/>
                <w:sz w:val="22"/>
                <w:szCs w:val="22"/>
              </w:rPr>
            </w:pPr>
            <w:proofErr w:type="spellStart"/>
            <w:r w:rsidRPr="00A661A9">
              <w:rPr>
                <w:rFonts w:asciiTheme="minorHAnsi" w:hAnsiTheme="minorHAnsi" w:cstheme="minorHAnsi"/>
                <w:sz w:val="22"/>
                <w:szCs w:val="22"/>
              </w:rPr>
              <w:t>Listowel</w:t>
            </w:r>
            <w:proofErr w:type="spellEnd"/>
            <w:r w:rsidRPr="00A661A9">
              <w:rPr>
                <w:rFonts w:asciiTheme="minorHAnsi" w:hAnsiTheme="minorHAnsi" w:cstheme="minorHAnsi"/>
                <w:sz w:val="22"/>
                <w:szCs w:val="22"/>
              </w:rPr>
              <w:t xml:space="preserve"> and </w:t>
            </w:r>
            <w:proofErr w:type="spellStart"/>
            <w:r w:rsidRPr="00A661A9">
              <w:rPr>
                <w:rFonts w:asciiTheme="minorHAnsi" w:hAnsiTheme="minorHAnsi" w:cstheme="minorHAnsi"/>
                <w:sz w:val="22"/>
                <w:szCs w:val="22"/>
              </w:rPr>
              <w:t>Wingham</w:t>
            </w:r>
            <w:proofErr w:type="spellEnd"/>
            <w:r w:rsidRPr="00A661A9">
              <w:rPr>
                <w:rFonts w:asciiTheme="minorHAnsi" w:hAnsiTheme="minorHAnsi" w:cstheme="minorHAnsi"/>
                <w:sz w:val="22"/>
                <w:szCs w:val="22"/>
              </w:rPr>
              <w:t xml:space="preserve"> Hospitals Alliance </w:t>
            </w:r>
          </w:p>
          <w:p w:rsidR="00A661A9" w:rsidRPr="00A661A9" w:rsidRDefault="00900620" w:rsidP="00A661A9">
            <w:pPr>
              <w:rPr>
                <w:rFonts w:asciiTheme="minorHAnsi" w:hAnsiTheme="minorHAnsi" w:cstheme="minorHAnsi"/>
                <w:sz w:val="22"/>
                <w:szCs w:val="22"/>
              </w:rPr>
            </w:pPr>
            <w:hyperlink r:id="rId5" w:history="1">
              <w:r w:rsidR="00A661A9" w:rsidRPr="00A661A9">
                <w:rPr>
                  <w:rStyle w:val="Hyperlink"/>
                  <w:rFonts w:asciiTheme="minorHAnsi" w:hAnsiTheme="minorHAnsi" w:cstheme="minorHAnsi"/>
                  <w:sz w:val="22"/>
                  <w:szCs w:val="22"/>
                </w:rPr>
                <w:t>www.lwha.ca</w:t>
              </w:r>
            </w:hyperlink>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 xml:space="preserve">519-291-3125 </w:t>
            </w:r>
            <w:proofErr w:type="spellStart"/>
            <w:r w:rsidRPr="00A661A9">
              <w:rPr>
                <w:rFonts w:asciiTheme="minorHAnsi" w:hAnsiTheme="minorHAnsi" w:cstheme="minorHAnsi"/>
                <w:sz w:val="22"/>
                <w:szCs w:val="22"/>
              </w:rPr>
              <w:t>ext</w:t>
            </w:r>
            <w:proofErr w:type="spellEnd"/>
            <w:r w:rsidRPr="00A661A9">
              <w:rPr>
                <w:rFonts w:asciiTheme="minorHAnsi" w:hAnsiTheme="minorHAnsi" w:cstheme="minorHAnsi"/>
                <w:sz w:val="22"/>
                <w:szCs w:val="22"/>
              </w:rPr>
              <w:t xml:space="preserve"> 5374</w:t>
            </w:r>
          </w:p>
          <w:p w:rsidR="00110148" w:rsidRPr="00A661A9" w:rsidRDefault="00110148" w:rsidP="00A661A9">
            <w:pPr>
              <w:jc w:val="center"/>
              <w:rPr>
                <w:rFonts w:asciiTheme="minorHAnsi" w:hAnsiTheme="minorHAnsi" w:cstheme="minorHAnsi"/>
                <w:sz w:val="22"/>
                <w:szCs w:val="22"/>
              </w:rPr>
            </w:pPr>
          </w:p>
        </w:tc>
        <w:tc>
          <w:tcPr>
            <w:tcW w:w="8531" w:type="dxa"/>
            <w:shd w:val="clear" w:color="auto" w:fill="auto"/>
          </w:tcPr>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We are 2 different small sites but both run similarly in the ED.</w:t>
            </w:r>
          </w:p>
          <w:p w:rsidR="00A661A9" w:rsidRPr="00A661A9" w:rsidRDefault="00A661A9" w:rsidP="00A661A9">
            <w:pPr>
              <w:rPr>
                <w:rFonts w:asciiTheme="minorHAnsi" w:hAnsiTheme="minorHAnsi" w:cstheme="minorHAnsi"/>
                <w:sz w:val="22"/>
                <w:szCs w:val="22"/>
              </w:rPr>
            </w:pPr>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07-1900- 2 RN’s, 1 Doc</w:t>
            </w:r>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19-0700- 2 RN’s, 1 Doc</w:t>
            </w:r>
          </w:p>
          <w:p w:rsidR="00A661A9" w:rsidRPr="00A661A9" w:rsidRDefault="00A661A9" w:rsidP="00A661A9">
            <w:pPr>
              <w:rPr>
                <w:rFonts w:asciiTheme="minorHAnsi" w:hAnsiTheme="minorHAnsi" w:cstheme="minorHAnsi"/>
                <w:sz w:val="22"/>
                <w:szCs w:val="22"/>
              </w:rPr>
            </w:pPr>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We have a float shift on the Inpatient unit from 07-1500 and 15-2300 that will float to the ED as needed for help and patient transfers</w:t>
            </w:r>
          </w:p>
          <w:p w:rsidR="00A661A9" w:rsidRPr="00A661A9" w:rsidRDefault="00A661A9" w:rsidP="00A661A9">
            <w:pPr>
              <w:rPr>
                <w:rFonts w:asciiTheme="minorHAnsi" w:hAnsiTheme="minorHAnsi" w:cstheme="minorHAnsi"/>
                <w:sz w:val="22"/>
                <w:szCs w:val="22"/>
              </w:rPr>
            </w:pPr>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 xml:space="preserve">We require all of our nurses who work the ED and who float to be able to triage since we don’t have a designated triage nurse. We have in house instructors who teach the course as needed. </w:t>
            </w:r>
          </w:p>
          <w:p w:rsid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Nurses do not work ED until they have the course and have proper orientation time to triage. Comfort is individual. Our departments are small and our triage area is near the main desk so staff new to triaging can seek assistance from their peers</w:t>
            </w:r>
          </w:p>
          <w:p w:rsidR="00D865DC" w:rsidRPr="00A661A9" w:rsidRDefault="00D865DC" w:rsidP="00A661A9">
            <w:pPr>
              <w:rPr>
                <w:rFonts w:asciiTheme="minorHAnsi" w:hAnsiTheme="minorHAnsi" w:cstheme="minorHAnsi"/>
                <w:sz w:val="22"/>
                <w:szCs w:val="22"/>
              </w:rPr>
            </w:pPr>
          </w:p>
          <w:p w:rsidR="00D865DC" w:rsidRPr="00D865DC" w:rsidRDefault="00D865DC" w:rsidP="00D865DC">
            <w:pPr>
              <w:rPr>
                <w:rFonts w:asciiTheme="minorHAnsi" w:hAnsiTheme="minorHAnsi" w:cstheme="minorHAnsi"/>
                <w:sz w:val="22"/>
                <w:szCs w:val="22"/>
              </w:rPr>
            </w:pPr>
            <w:r w:rsidRPr="00D865DC">
              <w:rPr>
                <w:rFonts w:asciiTheme="minorHAnsi" w:hAnsiTheme="minorHAnsi" w:cstheme="minorHAnsi"/>
                <w:sz w:val="22"/>
                <w:szCs w:val="22"/>
              </w:rPr>
              <w:t xml:space="preserve">We see about 10-12000 and 13-14000 at the 2 sites </w:t>
            </w:r>
          </w:p>
          <w:p w:rsidR="00D865DC" w:rsidRPr="00D865DC" w:rsidRDefault="00D865DC" w:rsidP="00D865DC">
            <w:pPr>
              <w:rPr>
                <w:rFonts w:asciiTheme="minorHAnsi" w:hAnsiTheme="minorHAnsi" w:cstheme="minorHAnsi"/>
                <w:sz w:val="22"/>
                <w:szCs w:val="22"/>
              </w:rPr>
            </w:pPr>
            <w:r w:rsidRPr="00D865DC">
              <w:rPr>
                <w:rFonts w:asciiTheme="minorHAnsi" w:hAnsiTheme="minorHAnsi" w:cstheme="minorHAnsi"/>
                <w:sz w:val="22"/>
                <w:szCs w:val="22"/>
              </w:rPr>
              <w:t xml:space="preserve">It’s not always feasible for us to have 2 years minimum before triaging. Ideally we hire experienced staff for the ED but if its someone new to the ED then they are paired with an experienced nurse </w:t>
            </w:r>
          </w:p>
          <w:p w:rsidR="00A661A9" w:rsidRPr="00A661A9" w:rsidRDefault="00A661A9" w:rsidP="00A661A9">
            <w:pPr>
              <w:rPr>
                <w:rFonts w:asciiTheme="minorHAnsi" w:hAnsiTheme="minorHAnsi" w:cstheme="minorHAnsi"/>
                <w:sz w:val="22"/>
                <w:szCs w:val="22"/>
              </w:rPr>
            </w:pPr>
          </w:p>
          <w:p w:rsidR="00A661A9" w:rsidRPr="00A661A9" w:rsidRDefault="00A661A9" w:rsidP="00A661A9">
            <w:pPr>
              <w:rPr>
                <w:rFonts w:asciiTheme="minorHAnsi" w:hAnsiTheme="minorHAnsi" w:cstheme="minorHAnsi"/>
                <w:sz w:val="22"/>
                <w:szCs w:val="22"/>
              </w:rPr>
            </w:pPr>
            <w:r w:rsidRPr="00A661A9">
              <w:rPr>
                <w:rFonts w:asciiTheme="minorHAnsi" w:hAnsiTheme="minorHAnsi" w:cstheme="minorHAnsi"/>
                <w:sz w:val="22"/>
                <w:szCs w:val="22"/>
              </w:rPr>
              <w:t>Hope this is helpful</w:t>
            </w:r>
          </w:p>
          <w:p w:rsidR="00110148" w:rsidRPr="00A661A9" w:rsidRDefault="00110148" w:rsidP="002C4D62">
            <w:pPr>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lastRenderedPageBreak/>
              <w:t>Anastasia Carron</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Professional Practice Supervisor</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Professional Practice</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Bluewater Health</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 xml:space="preserve">89 Norman Street </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Sarnia, ON   N7T 6S3</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Canada</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Phone: 1-519-464-4400 ext. 5287</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 xml:space="preserve">Email: </w:t>
            </w:r>
            <w:hyperlink r:id="rId6" w:history="1">
              <w:r w:rsidRPr="00C33663">
                <w:rPr>
                  <w:rStyle w:val="Hyperlink"/>
                  <w:rFonts w:asciiTheme="minorHAnsi" w:hAnsiTheme="minorHAnsi" w:cstheme="minorHAnsi"/>
                  <w:sz w:val="22"/>
                  <w:szCs w:val="22"/>
                </w:rPr>
                <w:t>acarron@bluewaterhealth.ca</w:t>
              </w:r>
            </w:hyperlink>
            <w:r w:rsidRPr="00C33663">
              <w:rPr>
                <w:rFonts w:asciiTheme="minorHAnsi" w:hAnsiTheme="minorHAnsi" w:cstheme="minorHAnsi"/>
                <w:sz w:val="22"/>
                <w:szCs w:val="22"/>
              </w:rPr>
              <w:t xml:space="preserve"> </w:t>
            </w:r>
          </w:p>
          <w:p w:rsidR="00C33663" w:rsidRPr="00C33663" w:rsidRDefault="00900620" w:rsidP="00C33663">
            <w:pPr>
              <w:rPr>
                <w:rFonts w:asciiTheme="minorHAnsi" w:hAnsiTheme="minorHAnsi" w:cstheme="minorHAnsi"/>
                <w:sz w:val="22"/>
                <w:szCs w:val="22"/>
              </w:rPr>
            </w:pPr>
            <w:hyperlink r:id="rId7" w:history="1">
              <w:r w:rsidR="00C33663" w:rsidRPr="00C33663">
                <w:rPr>
                  <w:rStyle w:val="Hyperlink"/>
                  <w:rFonts w:asciiTheme="minorHAnsi" w:hAnsiTheme="minorHAnsi" w:cstheme="minorHAnsi"/>
                  <w:sz w:val="22"/>
                  <w:szCs w:val="22"/>
                </w:rPr>
                <w:t>www.bluewaterhealth.ca</w:t>
              </w:r>
            </w:hyperlink>
            <w:r w:rsidR="00C33663" w:rsidRPr="00C33663">
              <w:rPr>
                <w:rFonts w:asciiTheme="minorHAnsi" w:hAnsiTheme="minorHAnsi" w:cstheme="minorHAnsi"/>
                <w:sz w:val="22"/>
                <w:szCs w:val="22"/>
              </w:rPr>
              <w:t xml:space="preserve">   </w:t>
            </w:r>
          </w:p>
          <w:p w:rsidR="00110148" w:rsidRPr="00A661A9" w:rsidRDefault="00110148" w:rsidP="00110148">
            <w:pPr>
              <w:rPr>
                <w:rFonts w:asciiTheme="minorHAnsi" w:hAnsiTheme="minorHAnsi" w:cstheme="minorHAnsi"/>
                <w:sz w:val="22"/>
                <w:szCs w:val="22"/>
              </w:rPr>
            </w:pPr>
          </w:p>
        </w:tc>
        <w:tc>
          <w:tcPr>
            <w:tcW w:w="8531" w:type="dxa"/>
            <w:shd w:val="clear" w:color="auto" w:fill="auto"/>
          </w:tcPr>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Good afternoon.  I hope this response finds you well.  The rural site for Bluewater Health typically serves around 20,000 annually.  I am interested in the responses I’ll see in your summary as our numbers have declined.  The model of care is listed below.</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Days</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2 RNs – 0700-1900</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1 RN – 0900-2100</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Nights</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2 RNs – 1900-0700</w:t>
            </w:r>
          </w:p>
          <w:p w:rsidR="00C33663" w:rsidRPr="00C33663" w:rsidRDefault="00C33663" w:rsidP="00C33663">
            <w:pPr>
              <w:rPr>
                <w:rFonts w:asciiTheme="minorHAnsi" w:hAnsiTheme="minorHAnsi" w:cstheme="minorHAnsi"/>
                <w:sz w:val="22"/>
                <w:szCs w:val="22"/>
              </w:rPr>
            </w:pPr>
            <w:r w:rsidRPr="00C33663">
              <w:rPr>
                <w:rFonts w:asciiTheme="minorHAnsi" w:hAnsiTheme="minorHAnsi" w:cstheme="minorHAnsi"/>
                <w:sz w:val="22"/>
                <w:szCs w:val="22"/>
              </w:rPr>
              <w:t xml:space="preserve">Our formal CTAS training begins after one year of the onboarding (unit based training, Cardiac care, ACLs, PALs, TNCC).  From this point the new nurse is mentored for 6 months by a senior nurse reviewing her triage assessments actively with her.  We have completed this process successfully with 2 junior staff.  Being a rural site we have not had experienced nurses apply for positions in quite some </w:t>
            </w:r>
            <w:proofErr w:type="gramStart"/>
            <w:r w:rsidRPr="00C33663">
              <w:rPr>
                <w:rFonts w:asciiTheme="minorHAnsi" w:hAnsiTheme="minorHAnsi" w:cstheme="minorHAnsi"/>
                <w:sz w:val="22"/>
                <w:szCs w:val="22"/>
              </w:rPr>
              <w:t>time.</w:t>
            </w:r>
            <w:proofErr w:type="gramEnd"/>
          </w:p>
          <w:p w:rsidR="00110148" w:rsidRPr="00A661A9" w:rsidRDefault="00110148" w:rsidP="00110148">
            <w:pPr>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257CB1" w:rsidRPr="00257CB1" w:rsidRDefault="00257CB1" w:rsidP="00257CB1">
            <w:pPr>
              <w:rPr>
                <w:rFonts w:asciiTheme="minorHAnsi" w:hAnsiTheme="minorHAnsi" w:cstheme="minorHAnsi"/>
                <w:sz w:val="22"/>
                <w:szCs w:val="22"/>
                <w:lang w:val="en-CA"/>
              </w:rPr>
            </w:pPr>
            <w:r w:rsidRPr="00257CB1">
              <w:rPr>
                <w:rFonts w:asciiTheme="minorHAnsi" w:hAnsiTheme="minorHAnsi" w:cstheme="minorHAnsi"/>
                <w:b/>
                <w:bCs/>
                <w:sz w:val="22"/>
                <w:szCs w:val="22"/>
                <w:lang w:val="en-CA"/>
              </w:rPr>
              <w:t xml:space="preserve">Wendy MacLeod, RN </w:t>
            </w:r>
            <w:proofErr w:type="spellStart"/>
            <w:r w:rsidRPr="00257CB1">
              <w:rPr>
                <w:rFonts w:asciiTheme="minorHAnsi" w:hAnsiTheme="minorHAnsi" w:cstheme="minorHAnsi"/>
                <w:b/>
                <w:bCs/>
                <w:sz w:val="22"/>
                <w:szCs w:val="22"/>
                <w:lang w:val="en-CA"/>
              </w:rPr>
              <w:t>BScN</w:t>
            </w:r>
            <w:proofErr w:type="spellEnd"/>
          </w:p>
          <w:p w:rsidR="00257CB1" w:rsidRPr="00257CB1" w:rsidRDefault="00257CB1" w:rsidP="00257CB1">
            <w:pPr>
              <w:rPr>
                <w:rFonts w:asciiTheme="minorHAnsi" w:hAnsiTheme="minorHAnsi" w:cstheme="minorHAnsi"/>
                <w:sz w:val="22"/>
                <w:szCs w:val="22"/>
                <w:lang w:val="en-CA"/>
              </w:rPr>
            </w:pPr>
            <w:r w:rsidRPr="00257CB1">
              <w:rPr>
                <w:rFonts w:asciiTheme="minorHAnsi" w:hAnsiTheme="minorHAnsi" w:cstheme="minorHAnsi"/>
                <w:sz w:val="22"/>
                <w:szCs w:val="22"/>
                <w:lang w:val="en-CA"/>
              </w:rPr>
              <w:t>Manager, Professional Practice</w:t>
            </w:r>
          </w:p>
          <w:p w:rsidR="00257CB1" w:rsidRPr="00257CB1" w:rsidRDefault="00257CB1" w:rsidP="00257CB1">
            <w:pPr>
              <w:rPr>
                <w:rFonts w:asciiTheme="minorHAnsi" w:hAnsiTheme="minorHAnsi" w:cstheme="minorHAnsi"/>
                <w:sz w:val="22"/>
                <w:szCs w:val="22"/>
              </w:rPr>
            </w:pPr>
            <w:proofErr w:type="spellStart"/>
            <w:r w:rsidRPr="00257CB1">
              <w:rPr>
                <w:rFonts w:asciiTheme="minorHAnsi" w:hAnsiTheme="minorHAnsi" w:cstheme="minorHAnsi"/>
                <w:sz w:val="22"/>
                <w:szCs w:val="22"/>
              </w:rPr>
              <w:t>Hôpi</w:t>
            </w:r>
            <w:r>
              <w:rPr>
                <w:rFonts w:asciiTheme="minorHAnsi" w:hAnsiTheme="minorHAnsi" w:cstheme="minorHAnsi"/>
                <w:sz w:val="22"/>
                <w:szCs w:val="22"/>
              </w:rPr>
              <w:t>tal</w:t>
            </w:r>
            <w:proofErr w:type="spellEnd"/>
            <w:r>
              <w:rPr>
                <w:rFonts w:asciiTheme="minorHAnsi" w:hAnsiTheme="minorHAnsi" w:cstheme="minorHAnsi"/>
                <w:sz w:val="22"/>
                <w:szCs w:val="22"/>
              </w:rPr>
              <w:t xml:space="preserve"> Glengarry Memorial </w:t>
            </w:r>
            <w:proofErr w:type="spellStart"/>
            <w:r>
              <w:rPr>
                <w:rFonts w:asciiTheme="minorHAnsi" w:hAnsiTheme="minorHAnsi" w:cstheme="minorHAnsi"/>
                <w:sz w:val="22"/>
                <w:szCs w:val="22"/>
              </w:rPr>
              <w:t>Hospital</w:t>
            </w:r>
            <w:r w:rsidRPr="00257CB1">
              <w:rPr>
                <w:rFonts w:asciiTheme="minorHAnsi" w:hAnsiTheme="minorHAnsi" w:cstheme="minorHAnsi"/>
                <w:sz w:val="22"/>
                <w:szCs w:val="22"/>
              </w:rPr>
              <w:t>T</w:t>
            </w:r>
            <w:proofErr w:type="spellEnd"/>
            <w:r w:rsidRPr="00257CB1">
              <w:rPr>
                <w:rFonts w:asciiTheme="minorHAnsi" w:hAnsiTheme="minorHAnsi" w:cstheme="minorHAnsi"/>
                <w:sz w:val="22"/>
                <w:szCs w:val="22"/>
              </w:rPr>
              <w:t xml:space="preserve"> 613.525.2222 x4332</w:t>
            </w:r>
          </w:p>
          <w:p w:rsidR="00257CB1" w:rsidRPr="00257CB1"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 xml:space="preserve">20260 County Road 43, </w:t>
            </w:r>
          </w:p>
          <w:p w:rsidR="00257CB1" w:rsidRPr="00257CB1"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Alexandria, ON   K0C 1A0</w:t>
            </w:r>
            <w:r w:rsidRPr="00257CB1">
              <w:rPr>
                <w:rFonts w:asciiTheme="minorHAnsi" w:hAnsiTheme="minorHAnsi" w:cstheme="minorHAnsi"/>
                <w:sz w:val="22"/>
                <w:szCs w:val="22"/>
              </w:rPr>
              <w:tab/>
              <w:t xml:space="preserve"> 613.360.9585</w:t>
            </w:r>
          </w:p>
          <w:p w:rsidR="00257CB1" w:rsidRPr="00257CB1"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F 613.525.5673</w:t>
            </w:r>
          </w:p>
          <w:p w:rsidR="00257CB1" w:rsidRPr="00257CB1"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www.hgmh.on.ca</w:t>
            </w:r>
          </w:p>
          <w:p w:rsidR="00257CB1" w:rsidRPr="00257CB1"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www.facebook.com/glengarrymemorial</w:t>
            </w:r>
          </w:p>
          <w:p w:rsidR="00110148" w:rsidRPr="00A661A9" w:rsidRDefault="00257CB1" w:rsidP="00257CB1">
            <w:pPr>
              <w:rPr>
                <w:rFonts w:asciiTheme="minorHAnsi" w:hAnsiTheme="minorHAnsi" w:cstheme="minorHAnsi"/>
                <w:sz w:val="22"/>
                <w:szCs w:val="22"/>
              </w:rPr>
            </w:pPr>
            <w:r w:rsidRPr="00257CB1">
              <w:rPr>
                <w:rFonts w:asciiTheme="minorHAnsi" w:hAnsiTheme="minorHAnsi" w:cstheme="minorHAnsi"/>
                <w:sz w:val="22"/>
                <w:szCs w:val="22"/>
              </w:rPr>
              <w:t>wmacleod@hgmh.on.ca</w:t>
            </w:r>
          </w:p>
        </w:tc>
        <w:tc>
          <w:tcPr>
            <w:tcW w:w="8531" w:type="dxa"/>
            <w:shd w:val="clear" w:color="auto" w:fill="auto"/>
          </w:tcPr>
          <w:p w:rsidR="00900620" w:rsidRPr="00900620" w:rsidRDefault="00900620" w:rsidP="00900620">
            <w:pPr>
              <w:rPr>
                <w:rFonts w:asciiTheme="minorHAnsi" w:hAnsiTheme="minorHAnsi" w:cstheme="minorHAnsi"/>
                <w:sz w:val="22"/>
                <w:szCs w:val="22"/>
              </w:rPr>
            </w:pPr>
            <w:r w:rsidRPr="00900620">
              <w:rPr>
                <w:rFonts w:asciiTheme="minorHAnsi" w:hAnsiTheme="minorHAnsi" w:cstheme="minorHAnsi"/>
                <w:sz w:val="22"/>
                <w:szCs w:val="22"/>
              </w:rPr>
              <w:t xml:space="preserve">We are a small rural hospital that on average see 22-24000 visits per year although that has significantly dropped since COVID.  We have 1 RN TL + 3 RNs on days with a clerk, 3 RNs on evenings with a clerk and 1 RN on nights with a RN float that goes between ED and Medicine/CCC/Rehab (wherever he/she is needed) and 1 RN standby on nights (we work 8 hour shifts) – no clerk.  </w:t>
            </w:r>
          </w:p>
          <w:p w:rsidR="00110148" w:rsidRDefault="00110148" w:rsidP="002C4D62">
            <w:pPr>
              <w:rPr>
                <w:rFonts w:asciiTheme="minorHAnsi" w:hAnsiTheme="minorHAnsi" w:cstheme="minorHAnsi"/>
                <w:sz w:val="22"/>
                <w:szCs w:val="22"/>
              </w:rPr>
            </w:pPr>
          </w:p>
          <w:p w:rsidR="00900620" w:rsidRPr="00900620" w:rsidRDefault="00900620" w:rsidP="00900620">
            <w:pPr>
              <w:rPr>
                <w:rFonts w:asciiTheme="minorHAnsi" w:hAnsiTheme="minorHAnsi" w:cstheme="minorHAnsi"/>
                <w:sz w:val="22"/>
                <w:szCs w:val="22"/>
              </w:rPr>
            </w:pPr>
            <w:r w:rsidRPr="00900620">
              <w:rPr>
                <w:rFonts w:asciiTheme="minorHAnsi" w:hAnsiTheme="minorHAnsi" w:cstheme="minorHAnsi"/>
                <w:sz w:val="22"/>
                <w:szCs w:val="22"/>
              </w:rPr>
              <w:t>Needless to say, we don’t meet the standard!  We try our best to strive toward it but to be honest, most times, it is less than a year.  We CTAS train all of our ED staff as those that are working cubicles cover for the triage nurse for breaks.</w:t>
            </w:r>
            <w:bookmarkStart w:id="11" w:name="_GoBack"/>
            <w:bookmarkEnd w:id="11"/>
          </w:p>
          <w:p w:rsidR="00900620" w:rsidRPr="00A661A9" w:rsidRDefault="00900620" w:rsidP="002C4D62">
            <w:pPr>
              <w:rPr>
                <w:rFonts w:asciiTheme="minorHAnsi" w:hAnsiTheme="minorHAnsi" w:cstheme="minorHAnsi"/>
                <w:sz w:val="22"/>
                <w:szCs w:val="22"/>
              </w:rPr>
            </w:pPr>
          </w:p>
        </w:tc>
        <w:tc>
          <w:tcPr>
            <w:tcW w:w="2192" w:type="dxa"/>
            <w:shd w:val="clear" w:color="auto" w:fill="auto"/>
          </w:tcPr>
          <w:p w:rsidR="00D41EFD" w:rsidRPr="00A661A9" w:rsidRDefault="00D41EFD"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661A9" w:rsidRDefault="00110148" w:rsidP="002C4D62">
            <w:pPr>
              <w:rPr>
                <w:rFonts w:asciiTheme="minorHAnsi" w:hAnsiTheme="minorHAnsi" w:cstheme="minorHAnsi"/>
                <w:sz w:val="22"/>
                <w:szCs w:val="22"/>
              </w:rPr>
            </w:pPr>
          </w:p>
        </w:tc>
        <w:tc>
          <w:tcPr>
            <w:tcW w:w="8531" w:type="dxa"/>
            <w:shd w:val="clear" w:color="auto" w:fill="auto"/>
          </w:tcPr>
          <w:p w:rsidR="00110148" w:rsidRPr="00A661A9" w:rsidRDefault="00110148" w:rsidP="002C4D62">
            <w:pPr>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661A9" w:rsidRDefault="00110148" w:rsidP="002C4D62">
            <w:pPr>
              <w:rPr>
                <w:rFonts w:asciiTheme="minorHAnsi" w:hAnsiTheme="minorHAnsi" w:cstheme="minorHAnsi"/>
                <w:sz w:val="22"/>
                <w:szCs w:val="22"/>
              </w:rPr>
            </w:pPr>
          </w:p>
        </w:tc>
        <w:tc>
          <w:tcPr>
            <w:tcW w:w="8531" w:type="dxa"/>
            <w:shd w:val="clear" w:color="auto" w:fill="auto"/>
          </w:tcPr>
          <w:p w:rsidR="00110148" w:rsidRPr="00A661A9" w:rsidRDefault="00110148" w:rsidP="002C4D62">
            <w:pPr>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A661A9" w:rsidRDefault="00110148" w:rsidP="002C4D62">
            <w:pPr>
              <w:rPr>
                <w:rFonts w:asciiTheme="minorHAnsi" w:hAnsiTheme="minorHAnsi" w:cstheme="minorHAnsi"/>
                <w:color w:val="17365D"/>
                <w:sz w:val="22"/>
                <w:szCs w:val="22"/>
              </w:rPr>
            </w:pPr>
          </w:p>
        </w:tc>
        <w:tc>
          <w:tcPr>
            <w:tcW w:w="8531" w:type="dxa"/>
            <w:shd w:val="clear" w:color="auto" w:fill="auto"/>
          </w:tcPr>
          <w:p w:rsidR="00110148" w:rsidRPr="00A661A9" w:rsidRDefault="00110148" w:rsidP="002C4D62">
            <w:pPr>
              <w:rPr>
                <w:rFonts w:asciiTheme="minorHAnsi" w:hAnsiTheme="minorHAnsi" w:cstheme="minorHAnsi"/>
                <w:sz w:val="22"/>
                <w:szCs w:val="22"/>
              </w:rPr>
            </w:pPr>
          </w:p>
        </w:tc>
        <w:tc>
          <w:tcPr>
            <w:tcW w:w="2192" w:type="dxa"/>
            <w:shd w:val="clear" w:color="auto" w:fill="auto"/>
          </w:tcPr>
          <w:p w:rsidR="00110148" w:rsidRPr="00A661A9"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Pr="00E9258B" w:rsidRDefault="00110148" w:rsidP="002C4D62">
            <w:pPr>
              <w:rPr>
                <w:sz w:val="28"/>
                <w:szCs w:val="28"/>
              </w:rPr>
            </w:pPr>
          </w:p>
        </w:tc>
        <w:tc>
          <w:tcPr>
            <w:tcW w:w="8531" w:type="dxa"/>
            <w:shd w:val="clear" w:color="auto" w:fill="auto"/>
          </w:tcPr>
          <w:p w:rsidR="00110148" w:rsidRPr="00E9258B" w:rsidRDefault="00110148" w:rsidP="002C4D62">
            <w:pPr>
              <w:rPr>
                <w:sz w:val="28"/>
                <w:szCs w:val="28"/>
              </w:rPr>
            </w:pPr>
          </w:p>
        </w:tc>
        <w:tc>
          <w:tcPr>
            <w:tcW w:w="2192" w:type="dxa"/>
            <w:shd w:val="clear" w:color="auto" w:fill="auto"/>
          </w:tcPr>
          <w:p w:rsidR="00110148" w:rsidRPr="00E9258B" w:rsidRDefault="00110148" w:rsidP="002C4D62">
            <w:pPr>
              <w:rPr>
                <w:sz w:val="28"/>
                <w:szCs w:val="28"/>
              </w:rPr>
            </w:pPr>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heck off "Display as Icon"</w:t>
      </w:r>
      <w:r>
        <w:rPr>
          <w:sz w:val="24"/>
          <w:szCs w:val="24"/>
        </w:rPr>
        <w:t xml:space="preserve"> s</w:t>
      </w:r>
      <w:r w:rsidRPr="00B62563">
        <w:rPr>
          <w:sz w:val="24"/>
          <w:szCs w:val="24"/>
        </w:rPr>
        <w:t>elect "OK” 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110148"/>
    <w:rsid w:val="00257CB1"/>
    <w:rsid w:val="0032378C"/>
    <w:rsid w:val="00493FFB"/>
    <w:rsid w:val="004970A2"/>
    <w:rsid w:val="00756A28"/>
    <w:rsid w:val="007E0F47"/>
    <w:rsid w:val="00900620"/>
    <w:rsid w:val="00A661A9"/>
    <w:rsid w:val="00C33663"/>
    <w:rsid w:val="00C8259B"/>
    <w:rsid w:val="00D41EFD"/>
    <w:rsid w:val="00D865DC"/>
    <w:rsid w:val="00E0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CE75"/>
  <w15:docId w15:val="{E7D9DA25-55FA-4AF1-BC91-46024A3A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ListParagraph">
    <w:name w:val="List Paragraph"/>
    <w:basedOn w:val="Normal"/>
    <w:uiPriority w:val="34"/>
    <w:qFormat/>
    <w:rsid w:val="00A66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073">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246579099">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41920331">
      <w:bodyDiv w:val="1"/>
      <w:marLeft w:val="0"/>
      <w:marRight w:val="0"/>
      <w:marTop w:val="0"/>
      <w:marBottom w:val="0"/>
      <w:divBdr>
        <w:top w:val="none" w:sz="0" w:space="0" w:color="auto"/>
        <w:left w:val="none" w:sz="0" w:space="0" w:color="auto"/>
        <w:bottom w:val="none" w:sz="0" w:space="0" w:color="auto"/>
        <w:right w:val="none" w:sz="0" w:space="0" w:color="auto"/>
      </w:divBdr>
    </w:div>
    <w:div w:id="457114783">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00669877">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1022365324">
      <w:bodyDiv w:val="1"/>
      <w:marLeft w:val="0"/>
      <w:marRight w:val="0"/>
      <w:marTop w:val="0"/>
      <w:marBottom w:val="0"/>
      <w:divBdr>
        <w:top w:val="none" w:sz="0" w:space="0" w:color="auto"/>
        <w:left w:val="none" w:sz="0" w:space="0" w:color="auto"/>
        <w:bottom w:val="none" w:sz="0" w:space="0" w:color="auto"/>
        <w:right w:val="none" w:sz="0" w:space="0" w:color="auto"/>
      </w:divBdr>
    </w:div>
    <w:div w:id="1134952565">
      <w:bodyDiv w:val="1"/>
      <w:marLeft w:val="0"/>
      <w:marRight w:val="0"/>
      <w:marTop w:val="0"/>
      <w:marBottom w:val="0"/>
      <w:divBdr>
        <w:top w:val="none" w:sz="0" w:space="0" w:color="auto"/>
        <w:left w:val="none" w:sz="0" w:space="0" w:color="auto"/>
        <w:bottom w:val="none" w:sz="0" w:space="0" w:color="auto"/>
        <w:right w:val="none" w:sz="0" w:space="0" w:color="auto"/>
      </w:divBdr>
    </w:div>
    <w:div w:id="1141850225">
      <w:bodyDiv w:val="1"/>
      <w:marLeft w:val="0"/>
      <w:marRight w:val="0"/>
      <w:marTop w:val="0"/>
      <w:marBottom w:val="0"/>
      <w:divBdr>
        <w:top w:val="none" w:sz="0" w:space="0" w:color="auto"/>
        <w:left w:val="none" w:sz="0" w:space="0" w:color="auto"/>
        <w:bottom w:val="none" w:sz="0" w:space="0" w:color="auto"/>
        <w:right w:val="none" w:sz="0" w:space="0" w:color="auto"/>
      </w:divBdr>
    </w:div>
    <w:div w:id="1224945206">
      <w:bodyDiv w:val="1"/>
      <w:marLeft w:val="0"/>
      <w:marRight w:val="0"/>
      <w:marTop w:val="0"/>
      <w:marBottom w:val="0"/>
      <w:divBdr>
        <w:top w:val="none" w:sz="0" w:space="0" w:color="auto"/>
        <w:left w:val="none" w:sz="0" w:space="0" w:color="auto"/>
        <w:bottom w:val="none" w:sz="0" w:space="0" w:color="auto"/>
        <w:right w:val="none" w:sz="0" w:space="0" w:color="auto"/>
      </w:divBdr>
    </w:div>
    <w:div w:id="1361054033">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710648148">
      <w:bodyDiv w:val="1"/>
      <w:marLeft w:val="0"/>
      <w:marRight w:val="0"/>
      <w:marTop w:val="0"/>
      <w:marBottom w:val="0"/>
      <w:divBdr>
        <w:top w:val="none" w:sz="0" w:space="0" w:color="auto"/>
        <w:left w:val="none" w:sz="0" w:space="0" w:color="auto"/>
        <w:bottom w:val="none" w:sz="0" w:space="0" w:color="auto"/>
        <w:right w:val="none" w:sz="0" w:space="0" w:color="auto"/>
      </w:divBdr>
    </w:div>
    <w:div w:id="17872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uewaterhealth.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rron@bluewaterhealth.ca" TargetMode="External"/><Relationship Id="rId5" Type="http://schemas.openxmlformats.org/officeDocument/2006/relationships/hyperlink" Target="https://urldefense.proofpoint.com/v2/url?u=http-3A__www.lwha.ca&amp;d=DwMGaQ&amp;c=JZUmuHfvZaOkNOGiUpQbGyGsM8Jf9oFbjpAib-DiM1Q&amp;r=kURj2IMF58DCZJAnaWaxazhr3GBv3feime99az_rQgg&amp;m=xKPPna6r6yv9OQZeGZJi10HMTiKcuNJ8S0944lT4Yhg&amp;s=950YiWjIL_U5Kcz93BMOsC797ThR8ik1-uKV8j1-gS8&amp;e=" TargetMode="External"/><Relationship Id="rId4" Type="http://schemas.openxmlformats.org/officeDocument/2006/relationships/hyperlink" Target="http://www.gbhs.on.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Ste-Croix, Suzanne</dc:creator>
  <cp:lastModifiedBy>Manley-Bakker, Deborah</cp:lastModifiedBy>
  <cp:revision>6</cp:revision>
  <dcterms:created xsi:type="dcterms:W3CDTF">2020-09-09T14:24:00Z</dcterms:created>
  <dcterms:modified xsi:type="dcterms:W3CDTF">2020-09-14T16:40:00Z</dcterms:modified>
</cp:coreProperties>
</file>