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48" w:rsidRPr="00FE175A" w:rsidRDefault="00110148" w:rsidP="00110148">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Template </w:t>
      </w:r>
    </w:p>
    <w:p w:rsidR="00110148" w:rsidRDefault="00110148" w:rsidP="00110148">
      <w:pPr>
        <w:jc w:val="center"/>
        <w:rPr>
          <w:sz w:val="28"/>
          <w:szCs w:val="28"/>
        </w:rPr>
      </w:pPr>
    </w:p>
    <w:p w:rsidR="00110148" w:rsidRDefault="00110148" w:rsidP="00110148">
      <w:pPr>
        <w:rPr>
          <w:sz w:val="24"/>
          <w:szCs w:val="24"/>
        </w:rPr>
      </w:pPr>
    </w:p>
    <w:p w:rsidR="008E44B1" w:rsidRPr="008E44B1" w:rsidRDefault="008E44B1"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8E44B1">
        <w:rPr>
          <w:rFonts w:asciiTheme="minorHAnsi" w:hAnsiTheme="minorHAnsi" w:cstheme="minorHAnsi"/>
          <w:sz w:val="22"/>
          <w:szCs w:val="22"/>
        </w:rPr>
        <w:t xml:space="preserve">Danielle Dunn, RN, </w:t>
      </w:r>
      <w:proofErr w:type="spellStart"/>
      <w:r w:rsidRPr="008E44B1">
        <w:rPr>
          <w:rFonts w:asciiTheme="minorHAnsi" w:hAnsiTheme="minorHAnsi" w:cstheme="minorHAnsi"/>
          <w:sz w:val="22"/>
          <w:szCs w:val="22"/>
        </w:rPr>
        <w:t>MScN</w:t>
      </w:r>
      <w:proofErr w:type="spellEnd"/>
    </w:p>
    <w:p w:rsidR="008E44B1" w:rsidRPr="008E44B1" w:rsidRDefault="008E44B1"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8E44B1">
        <w:rPr>
          <w:rFonts w:asciiTheme="minorHAnsi" w:hAnsiTheme="minorHAnsi" w:cstheme="minorHAnsi"/>
          <w:sz w:val="22"/>
          <w:szCs w:val="22"/>
        </w:rPr>
        <w:t>Nursing Coordinator, Case Management</w:t>
      </w:r>
    </w:p>
    <w:p w:rsidR="008E44B1" w:rsidRPr="008E44B1" w:rsidRDefault="008E44B1"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8E44B1">
        <w:rPr>
          <w:rFonts w:asciiTheme="minorHAnsi" w:hAnsiTheme="minorHAnsi" w:cstheme="minorHAnsi"/>
          <w:sz w:val="22"/>
          <w:szCs w:val="22"/>
        </w:rPr>
        <w:t>Grey Bruce Health Services, Owen Sound</w:t>
      </w:r>
    </w:p>
    <w:p w:rsidR="00110148" w:rsidRPr="008E44B1" w:rsidRDefault="008E44B1"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8E44B1">
        <w:rPr>
          <w:rFonts w:asciiTheme="minorHAnsi" w:hAnsiTheme="minorHAnsi" w:cstheme="minorHAnsi"/>
          <w:sz w:val="22"/>
          <w:szCs w:val="22"/>
        </w:rPr>
        <w:t>519-376-2121</w:t>
      </w:r>
    </w:p>
    <w:p w:rsidR="00110148" w:rsidRDefault="00110148" w:rsidP="00110148">
      <w:pPr>
        <w:rPr>
          <w:sz w:val="24"/>
          <w:szCs w:val="24"/>
        </w:rPr>
      </w:pPr>
      <w:r>
        <w:rPr>
          <w:sz w:val="24"/>
          <w:szCs w:val="24"/>
        </w:rPr>
        <w:t>Contact for further information:</w:t>
      </w:r>
    </w:p>
    <w:p w:rsidR="00110148" w:rsidRPr="008A4E86" w:rsidRDefault="00110148" w:rsidP="0011014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756A28" w:rsidRDefault="00110148" w:rsidP="00756A28">
      <w:pPr>
        <w:rPr>
          <w:sz w:val="28"/>
          <w:szCs w:val="28"/>
        </w:rPr>
      </w:pPr>
      <w:r w:rsidRPr="00F80386">
        <w:rPr>
          <w:sz w:val="24"/>
          <w:szCs w:val="24"/>
        </w:rPr>
        <w:t>Date</w:t>
      </w:r>
      <w:r>
        <w:rPr>
          <w:sz w:val="24"/>
          <w:szCs w:val="24"/>
        </w:rPr>
        <w:t xml:space="preserve"> of Summary</w:t>
      </w:r>
      <w:r w:rsidRPr="00F80386">
        <w:rPr>
          <w:sz w:val="24"/>
          <w:szCs w:val="24"/>
        </w:rPr>
        <w:t>:</w:t>
      </w:r>
      <w:r w:rsidR="00756A28" w:rsidRPr="00756A28">
        <w:rPr>
          <w:sz w:val="24"/>
          <w:szCs w:val="24"/>
        </w:rPr>
        <w:t xml:space="preserve"> </w:t>
      </w:r>
      <w:r w:rsidR="00756A28">
        <w:rPr>
          <w:sz w:val="24"/>
          <w:szCs w:val="24"/>
        </w:rPr>
        <w:t xml:space="preserve">       </w:t>
      </w:r>
      <w:r w:rsidR="008E44B1">
        <w:rPr>
          <w:sz w:val="24"/>
          <w:szCs w:val="24"/>
        </w:rPr>
        <w:t>September 15, 2020</w:t>
      </w:r>
    </w:p>
    <w:p w:rsidR="00110148" w:rsidRDefault="00110148" w:rsidP="00110148">
      <w:pPr>
        <w:rPr>
          <w:sz w:val="28"/>
          <w:szCs w:val="28"/>
        </w:rPr>
      </w:pPr>
      <w:r>
        <w:rPr>
          <w:sz w:val="24"/>
          <w:szCs w:val="24"/>
        </w:rPr>
        <w:tab/>
      </w:r>
      <w:r w:rsidR="00756A28">
        <w:rPr>
          <w:sz w:val="24"/>
          <w:szCs w:val="24"/>
        </w:rPr>
        <w:t xml:space="preserve"> </w:t>
      </w:r>
    </w:p>
    <w:p w:rsidR="00110148" w:rsidRPr="008E44B1"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Theme="minorHAnsi" w:hAnsiTheme="minorHAnsi" w:cstheme="minorHAnsi"/>
          <w:sz w:val="24"/>
          <w:szCs w:val="24"/>
        </w:rPr>
      </w:pPr>
      <w:r>
        <w:t> </w:t>
      </w:r>
      <w:r w:rsidR="008E44B1" w:rsidRPr="008E44B1">
        <w:rPr>
          <w:rFonts w:asciiTheme="minorHAnsi" w:hAnsiTheme="minorHAnsi" w:cstheme="minorHAnsi"/>
          <w:sz w:val="24"/>
          <w:szCs w:val="24"/>
        </w:rPr>
        <w:t>What tools are used in ER to screen for delirium?</w:t>
      </w:r>
    </w:p>
    <w:p w:rsidR="00110148" w:rsidRPr="008E44B1"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Theme="minorHAnsi" w:hAnsiTheme="minorHAnsi" w:cstheme="minorHAnsi"/>
          <w:sz w:val="24"/>
          <w:szCs w:val="24"/>
        </w:rPr>
      </w:pPr>
    </w:p>
    <w:p w:rsidR="00110148" w:rsidRPr="008A4E86" w:rsidRDefault="00110148" w:rsidP="00110148">
      <w:pPr>
        <w:rPr>
          <w:sz w:val="24"/>
          <w:szCs w:val="24"/>
        </w:rPr>
      </w:pPr>
      <w:r>
        <w:rPr>
          <w:sz w:val="24"/>
          <w:szCs w:val="24"/>
        </w:rPr>
        <w:t>Abbreviated Question (as it will appear on search results page)</w:t>
      </w:r>
      <w:r w:rsidRPr="008A4E86">
        <w:rPr>
          <w:sz w:val="24"/>
          <w:szCs w:val="24"/>
        </w:rPr>
        <w:tab/>
      </w:r>
    </w:p>
    <w:p w:rsidR="00110148" w:rsidRDefault="00110148" w:rsidP="00110148">
      <w:pPr>
        <w:rPr>
          <w:sz w:val="28"/>
          <w:szCs w:val="28"/>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0" w:name="Check1"/>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0"/>
      <w:r w:rsidRPr="007A4674">
        <w:rPr>
          <w:sz w:val="22"/>
          <w:szCs w:val="22"/>
        </w:rPr>
        <w:t xml:space="preserve"> </w:t>
      </w:r>
      <w:r w:rsidRPr="009739BC">
        <w:rPr>
          <w:b/>
          <w:sz w:val="22"/>
          <w:szCs w:val="22"/>
        </w:rPr>
        <w:t>Policy/Procedure</w:t>
      </w:r>
      <w:r w:rsidRPr="007A4674">
        <w:rPr>
          <w:sz w:val="22"/>
          <w:szCs w:val="22"/>
        </w:rPr>
        <w:t xml:space="preserve">  </w:t>
      </w:r>
      <w:r w:rsidRPr="007A4674">
        <w:rPr>
          <w:sz w:val="22"/>
          <w:szCs w:val="22"/>
        </w:rPr>
        <w:fldChar w:fldCharType="begin">
          <w:ffData>
            <w:name w:val="Check3"/>
            <w:enabled/>
            <w:calcOnExit w:val="0"/>
            <w:checkBox>
              <w:sizeAuto/>
              <w:default w:val="0"/>
            </w:checkBox>
          </w:ffData>
        </w:fldChar>
      </w:r>
      <w:bookmarkStart w:id="1" w:name="Check3"/>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1"/>
      <w:r w:rsidRPr="007A4674">
        <w:rPr>
          <w:sz w:val="22"/>
          <w:szCs w:val="22"/>
        </w:rPr>
        <w:t xml:space="preserve"> </w:t>
      </w:r>
      <w:r w:rsidRPr="00FB3A0F">
        <w:rPr>
          <w:b/>
          <w:sz w:val="22"/>
          <w:szCs w:val="22"/>
        </w:rPr>
        <w:t xml:space="preserve">Practice </w:t>
      </w:r>
      <w:r w:rsidRPr="007A4674">
        <w:rPr>
          <w:sz w:val="22"/>
          <w:szCs w:val="22"/>
        </w:rPr>
        <w:t xml:space="preserve">  </w:t>
      </w:r>
      <w:r w:rsidRPr="007A4674">
        <w:rPr>
          <w:sz w:val="22"/>
          <w:szCs w:val="22"/>
        </w:rPr>
        <w:fldChar w:fldCharType="begin">
          <w:ffData>
            <w:name w:val="Check4"/>
            <w:enabled/>
            <w:calcOnExit w:val="0"/>
            <w:checkBox>
              <w:sizeAuto/>
              <w:default w:val="0"/>
            </w:checkBox>
          </w:ffData>
        </w:fldChar>
      </w:r>
      <w:bookmarkStart w:id="2" w:name="Check4"/>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2"/>
      <w:r w:rsidRPr="007A4674">
        <w:rPr>
          <w:sz w:val="22"/>
          <w:szCs w:val="22"/>
        </w:rPr>
        <w:t xml:space="preserve"> Program Info  </w:t>
      </w:r>
      <w:r w:rsidRPr="007A4674">
        <w:rPr>
          <w:sz w:val="22"/>
          <w:szCs w:val="22"/>
        </w:rPr>
        <w:fldChar w:fldCharType="begin">
          <w:ffData>
            <w:name w:val="Check5"/>
            <w:enabled/>
            <w:calcOnExit w:val="0"/>
            <w:checkBox>
              <w:sizeAuto/>
              <w:default w:val="0"/>
            </w:checkBox>
          </w:ffData>
        </w:fldChar>
      </w:r>
      <w:bookmarkStart w:id="3" w:name="Check5"/>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3"/>
      <w:r w:rsidRPr="007A4674">
        <w:rPr>
          <w:sz w:val="22"/>
          <w:szCs w:val="22"/>
        </w:rPr>
        <w:t xml:space="preserve"> Committee Structure info </w:t>
      </w:r>
      <w:r>
        <w:rPr>
          <w:sz w:val="22"/>
          <w:szCs w:val="22"/>
        </w:rPr>
        <w:t xml:space="preserve"> </w:t>
      </w:r>
      <w:r w:rsidRPr="007A4674">
        <w:rPr>
          <w:sz w:val="22"/>
          <w:szCs w:val="22"/>
        </w:rPr>
        <w:fldChar w:fldCharType="begin">
          <w:ffData>
            <w:name w:val="Check6"/>
            <w:enabled/>
            <w:calcOnExit w:val="0"/>
            <w:checkBox>
              <w:sizeAuto/>
              <w:default w:val="0"/>
            </w:checkBox>
          </w:ffData>
        </w:fldChar>
      </w:r>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r w:rsidRPr="007A4674">
        <w:rPr>
          <w:sz w:val="22"/>
          <w:szCs w:val="22"/>
        </w:rPr>
        <w:t xml:space="preserve"> Role</w:t>
      </w:r>
      <w:r>
        <w:rPr>
          <w:sz w:val="22"/>
          <w:szCs w:val="22"/>
        </w:rPr>
        <w:t xml:space="preserve">  </w:t>
      </w:r>
      <w:r>
        <w:rPr>
          <w:sz w:val="22"/>
          <w:szCs w:val="22"/>
        </w:rPr>
        <w:fldChar w:fldCharType="begin">
          <w:ffData>
            <w:name w:val="Check15"/>
            <w:enabled/>
            <w:calcOnExit w:val="0"/>
            <w:checkBox>
              <w:sizeAuto/>
              <w:default w:val="0"/>
            </w:checkBox>
          </w:ffData>
        </w:fldChar>
      </w:r>
      <w:bookmarkStart w:id="4" w:name="Check15"/>
      <w:r>
        <w:rPr>
          <w:sz w:val="22"/>
          <w:szCs w:val="22"/>
        </w:rPr>
        <w:instrText xml:space="preserve"> FORMCHECKBOX </w:instrText>
      </w:r>
      <w:r w:rsidR="00235F31">
        <w:rPr>
          <w:sz w:val="22"/>
          <w:szCs w:val="22"/>
        </w:rPr>
      </w:r>
      <w:r w:rsidR="00235F31">
        <w:rPr>
          <w:sz w:val="22"/>
          <w:szCs w:val="22"/>
        </w:rPr>
        <w:fldChar w:fldCharType="separate"/>
      </w:r>
      <w:r>
        <w:rPr>
          <w:sz w:val="22"/>
          <w:szCs w:val="22"/>
        </w:rPr>
        <w:fldChar w:fldCharType="end"/>
      </w:r>
      <w:bookmarkEnd w:id="4"/>
      <w:r>
        <w:rPr>
          <w:sz w:val="22"/>
          <w:szCs w:val="22"/>
        </w:rPr>
        <w:t xml:space="preserve"> Students</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5" w:name="Check7"/>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5"/>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6" w:name="Check8"/>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6"/>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7" w:name="Check9"/>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7"/>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r w:rsidRPr="007A4674">
        <w:rPr>
          <w:sz w:val="22"/>
          <w:szCs w:val="22"/>
        </w:rPr>
        <w:t xml:space="preserve"> Pt. Safety</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Pr="00BB6092"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8" w:name="Check12"/>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8"/>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9" w:name="Check13"/>
      <w:r w:rsidRPr="007A4674">
        <w:rPr>
          <w:sz w:val="22"/>
          <w:szCs w:val="22"/>
        </w:rPr>
        <w:instrText xml:space="preserve"> FORMCHECKBOX </w:instrText>
      </w:r>
      <w:r w:rsidR="00235F31">
        <w:rPr>
          <w:sz w:val="22"/>
          <w:szCs w:val="22"/>
        </w:rPr>
      </w:r>
      <w:r w:rsidR="00235F31">
        <w:rPr>
          <w:sz w:val="22"/>
          <w:szCs w:val="22"/>
        </w:rPr>
        <w:fldChar w:fldCharType="separate"/>
      </w:r>
      <w:r w:rsidRPr="007A4674">
        <w:rPr>
          <w:sz w:val="22"/>
          <w:szCs w:val="22"/>
        </w:rPr>
        <w:fldChar w:fldCharType="end"/>
      </w:r>
      <w:bookmarkEnd w:id="9"/>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10" w:name="Check14"/>
      <w:r>
        <w:rPr>
          <w:sz w:val="22"/>
          <w:szCs w:val="22"/>
        </w:rPr>
        <w:instrText xml:space="preserve"> FORMCHECKBOX </w:instrText>
      </w:r>
      <w:r w:rsidR="00235F31">
        <w:rPr>
          <w:sz w:val="22"/>
          <w:szCs w:val="22"/>
        </w:rPr>
      </w:r>
      <w:r w:rsidR="00235F31">
        <w:rPr>
          <w:sz w:val="22"/>
          <w:szCs w:val="22"/>
        </w:rPr>
        <w:fldChar w:fldCharType="separate"/>
      </w:r>
      <w:r>
        <w:rPr>
          <w:sz w:val="22"/>
          <w:szCs w:val="22"/>
        </w:rPr>
        <w:fldChar w:fldCharType="end"/>
      </w:r>
      <w:bookmarkEnd w:id="10"/>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0148" w:rsidRPr="008A4E86" w:rsidRDefault="00110148" w:rsidP="00110148">
      <w:pPr>
        <w:ind w:left="-990" w:firstLine="990"/>
        <w:rPr>
          <w:sz w:val="24"/>
          <w:szCs w:val="24"/>
        </w:rPr>
      </w:pPr>
      <w:r w:rsidRPr="008A4E86">
        <w:rPr>
          <w:sz w:val="24"/>
          <w:szCs w:val="24"/>
        </w:rPr>
        <w:t>Keyword(s)</w:t>
      </w:r>
    </w:p>
    <w:p w:rsidR="00110148" w:rsidRPr="008A4E86" w:rsidRDefault="00110148" w:rsidP="00110148">
      <w:pPr>
        <w:ind w:left="-990" w:firstLine="990"/>
        <w:rPr>
          <w:sz w:val="24"/>
          <w:szCs w:val="24"/>
        </w:rPr>
      </w:pPr>
      <w:r w:rsidRPr="008A4E86">
        <w:rPr>
          <w:sz w:val="24"/>
          <w:szCs w:val="24"/>
        </w:rPr>
        <w:t>Check 1</w:t>
      </w:r>
      <w:r>
        <w:rPr>
          <w:sz w:val="24"/>
          <w:szCs w:val="24"/>
        </w:rPr>
        <w:t xml:space="preserve"> or</w:t>
      </w:r>
      <w:r w:rsidRPr="008A4E86">
        <w:rPr>
          <w:sz w:val="24"/>
          <w:szCs w:val="24"/>
        </w:rPr>
        <w:t xml:space="preserve"> 2 </w:t>
      </w:r>
    </w:p>
    <w:p w:rsidR="00110148" w:rsidRDefault="00110148" w:rsidP="00110148">
      <w:pPr>
        <w:ind w:left="-990" w:firstLine="990"/>
        <w:rPr>
          <w:sz w:val="24"/>
          <w:szCs w:val="24"/>
        </w:rPr>
      </w:pPr>
      <w:r>
        <w:rPr>
          <w:sz w:val="24"/>
          <w:szCs w:val="24"/>
        </w:rPr>
        <w:t xml:space="preserve">Required </w:t>
      </w:r>
    </w:p>
    <w:p w:rsidR="00110148" w:rsidRDefault="00110148" w:rsidP="00110148">
      <w:pPr>
        <w:ind w:left="-990" w:firstLine="990"/>
        <w:rPr>
          <w:sz w:val="24"/>
          <w:szCs w:val="24"/>
        </w:rPr>
      </w:pPr>
      <w:proofErr w:type="gramStart"/>
      <w:r>
        <w:rPr>
          <w:sz w:val="24"/>
          <w:szCs w:val="24"/>
        </w:rPr>
        <w:t>for</w:t>
      </w:r>
      <w:proofErr w:type="gramEnd"/>
      <w:r>
        <w:rPr>
          <w:sz w:val="24"/>
          <w:szCs w:val="24"/>
        </w:rPr>
        <w:t xml:space="preserve"> website</w:t>
      </w:r>
    </w:p>
    <w:p w:rsidR="00110148" w:rsidRPr="008A4E86" w:rsidRDefault="00110148" w:rsidP="00110148">
      <w:pPr>
        <w:ind w:left="-990" w:firstLine="990"/>
        <w:rPr>
          <w:sz w:val="24"/>
          <w:szCs w:val="24"/>
        </w:rPr>
      </w:pPr>
      <w:proofErr w:type="gramStart"/>
      <w:r>
        <w:rPr>
          <w:sz w:val="24"/>
          <w:szCs w:val="24"/>
        </w:rPr>
        <w:t>archiving</w:t>
      </w:r>
      <w:proofErr w:type="gramEnd"/>
    </w:p>
    <w:p w:rsidR="00110148" w:rsidRPr="008A4E86" w:rsidRDefault="00110148" w:rsidP="00110148">
      <w:pPr>
        <w:ind w:left="-990" w:firstLine="990"/>
        <w:rPr>
          <w:sz w:val="24"/>
          <w:szCs w:val="24"/>
        </w:rPr>
      </w:pPr>
    </w:p>
    <w:p w:rsidR="00110148" w:rsidRDefault="00110148" w:rsidP="00110148">
      <w:pPr>
        <w:ind w:left="1260" w:hanging="1260"/>
        <w:rPr>
          <w:sz w:val="24"/>
          <w:szCs w:val="24"/>
        </w:rPr>
      </w:pPr>
      <w:r w:rsidRPr="008A4E86">
        <w:rPr>
          <w:sz w:val="24"/>
          <w:szCs w:val="24"/>
        </w:rPr>
        <w:t>Responses:</w:t>
      </w:r>
      <w:r>
        <w:rPr>
          <w:sz w:val="24"/>
          <w:szCs w:val="24"/>
        </w:rPr>
        <w:t xml:space="preserve"> Please cut and paste responses from emails into the table, save and send summary table to PPNO List Serv.  Allow 3   weeks for responses to filter in before sending final version.</w:t>
      </w:r>
    </w:p>
    <w:p w:rsidR="00110148" w:rsidRPr="008A4E86" w:rsidRDefault="00110148" w:rsidP="00110148">
      <w:pPr>
        <w:ind w:left="1260" w:hanging="1260"/>
        <w:rPr>
          <w:sz w:val="24"/>
          <w:szCs w:val="24"/>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8416"/>
        <w:gridCol w:w="2186"/>
      </w:tblGrid>
      <w:tr w:rsidR="00110148" w:rsidRPr="009C78AE" w:rsidTr="002C4D62">
        <w:trPr>
          <w:trHeight w:val="904"/>
          <w:tblHeader/>
        </w:trPr>
        <w:tc>
          <w:tcPr>
            <w:tcW w:w="3137"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Responder Info</w:t>
            </w:r>
          </w:p>
        </w:tc>
        <w:tc>
          <w:tcPr>
            <w:tcW w:w="8531" w:type="dxa"/>
            <w:tcBorders>
              <w:bottom w:val="single" w:sz="4" w:space="0" w:color="auto"/>
            </w:tcBorders>
            <w:shd w:val="clear" w:color="auto" w:fill="auto"/>
            <w:vAlign w:val="center"/>
          </w:tcPr>
          <w:p w:rsidR="00110148" w:rsidRPr="00B2513E" w:rsidRDefault="00110148" w:rsidP="002C4D62">
            <w:pPr>
              <w:rPr>
                <w:color w:val="000000"/>
              </w:rPr>
            </w:pPr>
          </w:p>
        </w:tc>
        <w:tc>
          <w:tcPr>
            <w:tcW w:w="2192"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Attachment(s)*</w:t>
            </w:r>
          </w:p>
          <w:p w:rsidR="00110148" w:rsidRPr="009C78AE" w:rsidRDefault="00110148" w:rsidP="002C4D62">
            <w:pPr>
              <w:jc w:val="both"/>
              <w:rPr>
                <w:b/>
                <w:sz w:val="24"/>
                <w:szCs w:val="24"/>
              </w:rPr>
            </w:pPr>
            <w:r w:rsidRPr="009C78AE">
              <w:rPr>
                <w:b/>
                <w:sz w:val="24"/>
                <w:szCs w:val="24"/>
              </w:rPr>
              <w:t xml:space="preserve"> </w:t>
            </w:r>
          </w:p>
        </w:tc>
      </w:tr>
      <w:tr w:rsidR="00110148" w:rsidRPr="00E9258B" w:rsidTr="002C4D62">
        <w:trPr>
          <w:trHeight w:val="302"/>
        </w:trPr>
        <w:tc>
          <w:tcPr>
            <w:tcW w:w="13860" w:type="dxa"/>
            <w:gridSpan w:val="3"/>
            <w:shd w:val="clear" w:color="auto" w:fill="E0E0E0"/>
          </w:tcPr>
          <w:p w:rsidR="00110148" w:rsidRPr="00E9258B" w:rsidRDefault="00110148" w:rsidP="002C4D62">
            <w:pPr>
              <w:jc w:val="both"/>
              <w:rPr>
                <w:sz w:val="24"/>
                <w:szCs w:val="24"/>
              </w:rPr>
            </w:pPr>
          </w:p>
        </w:tc>
      </w:tr>
      <w:tr w:rsidR="00110148" w:rsidRPr="00E9258B" w:rsidTr="002C4D62">
        <w:trPr>
          <w:trHeight w:val="516"/>
        </w:trPr>
        <w:tc>
          <w:tcPr>
            <w:tcW w:w="3137" w:type="dxa"/>
            <w:shd w:val="clear" w:color="auto" w:fill="auto"/>
          </w:tcPr>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Angela Chan, RN, MN, GNC(C)</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Professional Practice and Education Leader, Nursing</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Department of Professional Practice and Education</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Mackenzie Health</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10 Trench Street</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lastRenderedPageBreak/>
              <w:t>Richmond Hill, Ontario</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L4C 4Z3</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Phone: 905) 883-1212 ext. 7461</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647) 202-8356</w:t>
            </w:r>
          </w:p>
          <w:p w:rsidR="00661DF8" w:rsidRPr="00661DF8" w:rsidRDefault="00661DF8" w:rsidP="00661DF8">
            <w:pPr>
              <w:rPr>
                <w:rFonts w:ascii="Calibri" w:eastAsia="Calibri" w:hAnsi="Calibri" w:cs="Calibri"/>
                <w:color w:val="000000"/>
                <w:sz w:val="22"/>
                <w:szCs w:val="22"/>
              </w:rPr>
            </w:pPr>
            <w:r w:rsidRPr="00661DF8">
              <w:rPr>
                <w:rFonts w:ascii="Calibri" w:eastAsia="Calibri" w:hAnsi="Calibri" w:cs="Calibri"/>
                <w:color w:val="1F497D"/>
                <w:sz w:val="22"/>
                <w:szCs w:val="22"/>
              </w:rPr>
              <w:t xml:space="preserve">Email: </w:t>
            </w:r>
            <w:hyperlink r:id="rId4" w:tgtFrame="_blank" w:history="1">
              <w:r w:rsidRPr="00661DF8">
                <w:rPr>
                  <w:rFonts w:ascii="Calibri" w:eastAsia="Calibri" w:hAnsi="Calibri" w:cs="Calibri"/>
                  <w:color w:val="0563C1"/>
                  <w:sz w:val="22"/>
                  <w:szCs w:val="22"/>
                  <w:u w:val="single"/>
                </w:rPr>
                <w:t>angela.chan@mackenziehealth.ca</w:t>
              </w:r>
            </w:hyperlink>
          </w:p>
          <w:p w:rsidR="00110148" w:rsidRPr="00E9258B" w:rsidRDefault="00110148" w:rsidP="002C4D62">
            <w:pPr>
              <w:rPr>
                <w:sz w:val="24"/>
                <w:szCs w:val="24"/>
              </w:rPr>
            </w:pPr>
          </w:p>
        </w:tc>
        <w:tc>
          <w:tcPr>
            <w:tcW w:w="8531" w:type="dxa"/>
            <w:shd w:val="clear" w:color="auto" w:fill="auto"/>
          </w:tcPr>
          <w:p w:rsidR="00661DF8" w:rsidRPr="00661DF8" w:rsidRDefault="00661DF8" w:rsidP="00661DF8">
            <w:pPr>
              <w:rPr>
                <w:rFonts w:ascii="Calibri" w:eastAsia="Calibri" w:hAnsi="Calibri" w:cs="Calibri"/>
                <w:sz w:val="22"/>
                <w:szCs w:val="22"/>
              </w:rPr>
            </w:pPr>
            <w:r w:rsidRPr="00661DF8">
              <w:rPr>
                <w:rFonts w:ascii="Calibri" w:eastAsia="Calibri" w:hAnsi="Calibri" w:cs="Calibri"/>
                <w:sz w:val="22"/>
                <w:szCs w:val="22"/>
                <w:lang w:val="en-CA"/>
              </w:rPr>
              <w:lastRenderedPageBreak/>
              <w:t xml:space="preserve">We use the CAM tool for delirium screening in our ED for </w:t>
            </w:r>
            <w:proofErr w:type="gramStart"/>
            <w:r w:rsidRPr="00661DF8">
              <w:rPr>
                <w:rFonts w:ascii="Calibri" w:eastAsia="Calibri" w:hAnsi="Calibri" w:cs="Calibri"/>
                <w:sz w:val="22"/>
                <w:szCs w:val="22"/>
                <w:lang w:val="en-CA"/>
              </w:rPr>
              <w:t>patients</w:t>
            </w:r>
            <w:proofErr w:type="gramEnd"/>
            <w:r w:rsidRPr="00661DF8">
              <w:rPr>
                <w:rFonts w:ascii="Calibri" w:eastAsia="Calibri" w:hAnsi="Calibri" w:cs="Calibri"/>
                <w:sz w:val="22"/>
                <w:szCs w:val="22"/>
                <w:lang w:val="en-CA"/>
              </w:rPr>
              <w:t xml:space="preserve"> great than 65 years old within 24 hours of admission and </w:t>
            </w:r>
            <w:r w:rsidRPr="00661DF8">
              <w:rPr>
                <w:rFonts w:ascii="Calibri" w:eastAsia="Calibri" w:hAnsi="Calibri" w:cs="Calibri"/>
                <w:sz w:val="22"/>
                <w:szCs w:val="22"/>
              </w:rPr>
              <w:t>every shift for delirium.</w:t>
            </w:r>
          </w:p>
          <w:p w:rsidR="00661DF8" w:rsidRPr="00661DF8" w:rsidRDefault="00661DF8" w:rsidP="00661DF8">
            <w:pPr>
              <w:rPr>
                <w:rFonts w:ascii="Calibri" w:eastAsia="Calibri" w:hAnsi="Calibri" w:cs="Calibri"/>
                <w:sz w:val="22"/>
                <w:szCs w:val="22"/>
              </w:rPr>
            </w:pPr>
          </w:p>
          <w:p w:rsidR="00110148" w:rsidRPr="00E9258B" w:rsidRDefault="00110148" w:rsidP="002C4D62">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277"/>
        </w:trPr>
        <w:tc>
          <w:tcPr>
            <w:tcW w:w="3137" w:type="dxa"/>
            <w:shd w:val="clear" w:color="auto" w:fill="auto"/>
          </w:tcPr>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 xml:space="preserve">Melissa Pelletier, RN, </w:t>
            </w:r>
            <w:proofErr w:type="spellStart"/>
            <w:r w:rsidRPr="00F65FAF">
              <w:rPr>
                <w:rFonts w:ascii="Calibri" w:eastAsia="Calibri" w:hAnsi="Calibri" w:cs="Calibri"/>
                <w:color w:val="1F497D"/>
                <w:sz w:val="22"/>
                <w:szCs w:val="22"/>
                <w:lang w:val="en-CA"/>
              </w:rPr>
              <w:t>BScN</w:t>
            </w:r>
            <w:proofErr w:type="spellEnd"/>
            <w:r w:rsidRPr="00F65FAF">
              <w:rPr>
                <w:rFonts w:ascii="Calibri" w:eastAsia="Calibri" w:hAnsi="Calibri" w:cs="Calibri"/>
                <w:color w:val="1F497D"/>
                <w:sz w:val="22"/>
                <w:szCs w:val="22"/>
                <w:lang w:val="en-CA"/>
              </w:rPr>
              <w:t xml:space="preserve">, </w:t>
            </w:r>
            <w:proofErr w:type="spellStart"/>
            <w:r w:rsidRPr="00F65FAF">
              <w:rPr>
                <w:rFonts w:ascii="Calibri" w:eastAsia="Calibri" w:hAnsi="Calibri" w:cs="Calibri"/>
                <w:color w:val="1F497D"/>
                <w:sz w:val="22"/>
                <w:szCs w:val="22"/>
                <w:lang w:val="en-CA"/>
              </w:rPr>
              <w:t>CNeph</w:t>
            </w:r>
            <w:proofErr w:type="spellEnd"/>
            <w:r w:rsidRPr="00F65FAF">
              <w:rPr>
                <w:rFonts w:ascii="Calibri" w:eastAsia="Calibri" w:hAnsi="Calibri" w:cs="Calibri"/>
                <w:color w:val="1F497D"/>
                <w:sz w:val="22"/>
                <w:szCs w:val="22"/>
                <w:lang w:val="en-CA"/>
              </w:rPr>
              <w:t>(C)</w:t>
            </w:r>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Clinical Educator</w:t>
            </w:r>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Renal Program</w:t>
            </w:r>
          </w:p>
          <w:p w:rsidR="00F65FAF" w:rsidRPr="00F65FAF" w:rsidRDefault="00F65FAF" w:rsidP="00F65FAF">
            <w:pPr>
              <w:rPr>
                <w:rFonts w:ascii="Calibri" w:eastAsia="Calibri" w:hAnsi="Calibri" w:cs="Calibri"/>
                <w:color w:val="1F497D"/>
                <w:sz w:val="22"/>
                <w:szCs w:val="22"/>
                <w:lang w:val="en-CA"/>
              </w:rPr>
            </w:pPr>
            <w:proofErr w:type="spellStart"/>
            <w:r w:rsidRPr="00F65FAF">
              <w:rPr>
                <w:rFonts w:ascii="Calibri" w:eastAsia="Calibri" w:hAnsi="Calibri" w:cs="Calibri"/>
                <w:color w:val="1F497D"/>
                <w:sz w:val="22"/>
                <w:szCs w:val="22"/>
                <w:lang w:val="en-CA"/>
              </w:rPr>
              <w:t>Interprofessional</w:t>
            </w:r>
            <w:proofErr w:type="spellEnd"/>
            <w:r w:rsidRPr="00F65FAF">
              <w:rPr>
                <w:rFonts w:ascii="Calibri" w:eastAsia="Calibri" w:hAnsi="Calibri" w:cs="Calibri"/>
                <w:color w:val="1F497D"/>
                <w:sz w:val="22"/>
                <w:szCs w:val="22"/>
                <w:lang w:val="en-CA"/>
              </w:rPr>
              <w:t xml:space="preserve"> Practice</w:t>
            </w:r>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Royal Victoria Regional Health Centre</w:t>
            </w:r>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201 Georgian Drive</w:t>
            </w:r>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Barrie, Ontario</w:t>
            </w:r>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L4M 6M2</w:t>
            </w:r>
          </w:p>
          <w:p w:rsidR="00F65FAF" w:rsidRPr="00F65FAF" w:rsidRDefault="00235F31" w:rsidP="00F65FAF">
            <w:pPr>
              <w:rPr>
                <w:rFonts w:ascii="Calibri" w:eastAsia="Calibri" w:hAnsi="Calibri" w:cs="Calibri"/>
                <w:color w:val="1F497D"/>
                <w:sz w:val="22"/>
                <w:szCs w:val="22"/>
                <w:lang w:val="en-CA"/>
              </w:rPr>
            </w:pPr>
            <w:hyperlink r:id="rId5" w:history="1">
              <w:r w:rsidR="00F65FAF" w:rsidRPr="00F65FAF">
                <w:rPr>
                  <w:rFonts w:ascii="Calibri" w:eastAsia="Calibri" w:hAnsi="Calibri" w:cs="Calibri"/>
                  <w:color w:val="0563C1"/>
                  <w:sz w:val="22"/>
                  <w:szCs w:val="22"/>
                  <w:u w:val="single"/>
                  <w:lang w:val="en-CA"/>
                </w:rPr>
                <w:t>pelletierm@rvh.on.ca</w:t>
              </w:r>
            </w:hyperlink>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 xml:space="preserve">Tel:  705-728-9090 </w:t>
            </w:r>
            <w:proofErr w:type="spellStart"/>
            <w:r w:rsidRPr="00F65FAF">
              <w:rPr>
                <w:rFonts w:ascii="Calibri" w:eastAsia="Calibri" w:hAnsi="Calibri" w:cs="Calibri"/>
                <w:color w:val="1F497D"/>
                <w:sz w:val="22"/>
                <w:szCs w:val="22"/>
                <w:lang w:val="en-CA"/>
              </w:rPr>
              <w:t>ext</w:t>
            </w:r>
            <w:proofErr w:type="spellEnd"/>
            <w:r w:rsidRPr="00F65FAF">
              <w:rPr>
                <w:rFonts w:ascii="Calibri" w:eastAsia="Calibri" w:hAnsi="Calibri" w:cs="Calibri"/>
                <w:color w:val="1F497D"/>
                <w:sz w:val="22"/>
                <w:szCs w:val="22"/>
                <w:lang w:val="en-CA"/>
              </w:rPr>
              <w:t xml:space="preserve"> 47712</w:t>
            </w:r>
          </w:p>
          <w:p w:rsidR="00F65FAF" w:rsidRPr="00F65FAF" w:rsidRDefault="00F65FAF" w:rsidP="00F65FAF">
            <w:pPr>
              <w:rPr>
                <w:rFonts w:ascii="Calibri" w:eastAsia="Calibri" w:hAnsi="Calibri" w:cs="Calibri"/>
                <w:color w:val="1F497D"/>
                <w:sz w:val="22"/>
                <w:szCs w:val="22"/>
                <w:lang w:val="en-CA"/>
              </w:rPr>
            </w:pPr>
            <w:r w:rsidRPr="00F65FAF">
              <w:rPr>
                <w:rFonts w:ascii="Calibri" w:eastAsia="Calibri" w:hAnsi="Calibri" w:cs="Calibri"/>
                <w:color w:val="1F497D"/>
                <w:sz w:val="22"/>
                <w:szCs w:val="22"/>
                <w:lang w:val="en-CA"/>
              </w:rPr>
              <w:t>Pager:  705-720-6008</w:t>
            </w:r>
          </w:p>
          <w:p w:rsidR="00F65FAF" w:rsidRPr="00F65FAF" w:rsidRDefault="00235F31" w:rsidP="00F65FAF">
            <w:pPr>
              <w:spacing w:before="100" w:beforeAutospacing="1" w:after="100" w:afterAutospacing="1"/>
              <w:contextualSpacing/>
              <w:rPr>
                <w:rFonts w:ascii="Arial" w:eastAsia="Calibri" w:hAnsi="Arial" w:cs="Arial"/>
                <w:color w:val="1F497D"/>
              </w:rPr>
            </w:pPr>
            <w:hyperlink r:id="rId6" w:history="1">
              <w:r w:rsidR="00F65FAF" w:rsidRPr="00F65FAF">
                <w:rPr>
                  <w:rFonts w:ascii="Arial" w:eastAsia="Calibri" w:hAnsi="Arial" w:cs="Arial"/>
                  <w:color w:val="0563C1"/>
                  <w:u w:val="single"/>
                </w:rPr>
                <w:t>www.rvh.on.ca</w:t>
              </w:r>
            </w:hyperlink>
            <w:r w:rsidR="00F65FAF" w:rsidRPr="00F65FAF">
              <w:rPr>
                <w:rFonts w:eastAsia="Calibri"/>
                <w:color w:val="1F497D"/>
                <w:sz w:val="24"/>
                <w:szCs w:val="24"/>
                <w:lang w:val="en-CA"/>
              </w:rPr>
              <w:t xml:space="preserve"> </w:t>
            </w:r>
          </w:p>
          <w:p w:rsidR="00110148" w:rsidRPr="00E9258B" w:rsidRDefault="00110148" w:rsidP="002C4D62">
            <w:pPr>
              <w:rPr>
                <w:sz w:val="24"/>
                <w:szCs w:val="24"/>
              </w:rPr>
            </w:pPr>
          </w:p>
        </w:tc>
        <w:tc>
          <w:tcPr>
            <w:tcW w:w="8531" w:type="dxa"/>
            <w:shd w:val="clear" w:color="auto" w:fill="auto"/>
          </w:tcPr>
          <w:p w:rsidR="00110148" w:rsidRPr="00E9258B" w:rsidRDefault="00F65FAF" w:rsidP="002C4D62">
            <w:pPr>
              <w:rPr>
                <w:sz w:val="24"/>
                <w:szCs w:val="24"/>
              </w:rPr>
            </w:pPr>
            <w:r w:rsidRPr="00F65FAF">
              <w:rPr>
                <w:sz w:val="24"/>
                <w:szCs w:val="24"/>
                <w:lang w:val="en-CA"/>
              </w:rPr>
              <w:t>Please find attached our delirium screening policy.  ED is covered in this policy</w:t>
            </w:r>
          </w:p>
        </w:tc>
        <w:bookmarkStart w:id="11" w:name="_MON_1661682890"/>
        <w:bookmarkEnd w:id="11"/>
        <w:tc>
          <w:tcPr>
            <w:tcW w:w="2192" w:type="dxa"/>
            <w:shd w:val="clear" w:color="auto" w:fill="auto"/>
          </w:tcPr>
          <w:p w:rsidR="00110148" w:rsidRPr="003D0EFA" w:rsidRDefault="00F65FAF" w:rsidP="002C4D62">
            <w:pPr>
              <w:rPr>
                <w:sz w:val="24"/>
                <w:szCs w:val="24"/>
              </w:rPr>
            </w:pPr>
            <w:r>
              <w:rPr>
                <w:sz w:val="24"/>
                <w:szCs w:val="24"/>
              </w:rPr>
              <w:object w:dxaOrig="1541"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662438759" r:id="rId8">
                  <o:FieldCodes>\s</o:FieldCodes>
                </o:OLEObject>
              </w:object>
            </w:r>
          </w:p>
        </w:tc>
      </w:tr>
      <w:tr w:rsidR="00110148" w:rsidRPr="00E9258B" w:rsidTr="002C4D62">
        <w:trPr>
          <w:trHeight w:val="302"/>
        </w:trPr>
        <w:tc>
          <w:tcPr>
            <w:tcW w:w="3137" w:type="dxa"/>
            <w:shd w:val="clear" w:color="auto" w:fill="auto"/>
          </w:tcPr>
          <w:p w:rsidR="00F65FAF" w:rsidRDefault="00F65FAF" w:rsidP="00F65FAF">
            <w:pPr>
              <w:rPr>
                <w:color w:val="1F497D"/>
              </w:rPr>
            </w:pPr>
            <w:r>
              <w:rPr>
                <w:b/>
                <w:bCs/>
                <w:color w:val="1F497D"/>
                <w:sz w:val="24"/>
                <w:szCs w:val="24"/>
              </w:rPr>
              <w:t xml:space="preserve">Claire Latto-Hall, RN, </w:t>
            </w:r>
            <w:proofErr w:type="spellStart"/>
            <w:r>
              <w:rPr>
                <w:b/>
                <w:bCs/>
                <w:color w:val="1F497D"/>
                <w:sz w:val="24"/>
                <w:szCs w:val="24"/>
              </w:rPr>
              <w:t>BScN</w:t>
            </w:r>
            <w:proofErr w:type="spellEnd"/>
            <w:r>
              <w:rPr>
                <w:b/>
                <w:bCs/>
                <w:color w:val="1F497D"/>
                <w:sz w:val="24"/>
                <w:szCs w:val="24"/>
              </w:rPr>
              <w:t>, CDE, MPH</w:t>
            </w:r>
          </w:p>
          <w:p w:rsidR="00F65FAF" w:rsidRDefault="00F65FAF" w:rsidP="00F65FAF">
            <w:pPr>
              <w:rPr>
                <w:color w:val="1F497D"/>
              </w:rPr>
            </w:pPr>
            <w:r>
              <w:rPr>
                <w:color w:val="1F497D"/>
              </w:rPr>
              <w:t>Corporate Professional Practice Clinician</w:t>
            </w:r>
          </w:p>
          <w:p w:rsidR="00F65FAF" w:rsidRDefault="00F65FAF" w:rsidP="00F65FAF">
            <w:pPr>
              <w:rPr>
                <w:color w:val="1F497D"/>
              </w:rPr>
            </w:pPr>
            <w:proofErr w:type="spellStart"/>
            <w:r>
              <w:rPr>
                <w:color w:val="1F497D"/>
              </w:rPr>
              <w:t>Halton</w:t>
            </w:r>
            <w:proofErr w:type="spellEnd"/>
            <w:r>
              <w:rPr>
                <w:color w:val="1F497D"/>
              </w:rPr>
              <w:t xml:space="preserve"> Healthcare</w:t>
            </w:r>
          </w:p>
          <w:p w:rsidR="00F65FAF" w:rsidRDefault="00F65FAF" w:rsidP="00F65FAF">
            <w:pPr>
              <w:rPr>
                <w:color w:val="1F497D"/>
              </w:rPr>
            </w:pPr>
            <w:r>
              <w:rPr>
                <w:color w:val="1F497D"/>
              </w:rPr>
              <w:t>3001 Hospital Gate, Oakville, ON  L6M 0L8</w:t>
            </w:r>
          </w:p>
          <w:p w:rsidR="00F65FAF" w:rsidRDefault="00235F31" w:rsidP="00F65FAF">
            <w:pPr>
              <w:rPr>
                <w:color w:val="002060"/>
              </w:rPr>
            </w:pPr>
            <w:hyperlink r:id="rId9" w:history="1">
              <w:r w:rsidR="00F65FAF">
                <w:rPr>
                  <w:rStyle w:val="Hyperlink"/>
                  <w:color w:val="002060"/>
                </w:rPr>
                <w:t>clattohall@haltonhealthcare.on.ca</w:t>
              </w:r>
            </w:hyperlink>
          </w:p>
          <w:p w:rsidR="00F65FAF" w:rsidRDefault="00F65FAF" w:rsidP="00F65FAF">
            <w:pPr>
              <w:rPr>
                <w:color w:val="1F497D"/>
              </w:rPr>
            </w:pPr>
            <w:r>
              <w:rPr>
                <w:color w:val="1F497D"/>
              </w:rPr>
              <w:t>Tel.: 905-845-2571   ext. 3837</w:t>
            </w:r>
          </w:p>
          <w:p w:rsidR="00110148" w:rsidRPr="00E9258B" w:rsidRDefault="00110148" w:rsidP="00110148">
            <w:pPr>
              <w:rPr>
                <w:sz w:val="24"/>
                <w:szCs w:val="24"/>
              </w:rPr>
            </w:pPr>
          </w:p>
        </w:tc>
        <w:tc>
          <w:tcPr>
            <w:tcW w:w="8531" w:type="dxa"/>
            <w:shd w:val="clear" w:color="auto" w:fill="auto"/>
          </w:tcPr>
          <w:p w:rsidR="00F65FAF" w:rsidRPr="00F65FAF" w:rsidRDefault="00F65FAF" w:rsidP="00F65FAF">
            <w:pPr>
              <w:rPr>
                <w:sz w:val="24"/>
                <w:szCs w:val="24"/>
              </w:rPr>
            </w:pPr>
            <w:r w:rsidRPr="00F65FAF">
              <w:rPr>
                <w:sz w:val="24"/>
                <w:szCs w:val="24"/>
              </w:rPr>
              <w:t xml:space="preserve">At </w:t>
            </w:r>
            <w:proofErr w:type="spellStart"/>
            <w:r w:rsidRPr="00F65FAF">
              <w:rPr>
                <w:sz w:val="24"/>
                <w:szCs w:val="24"/>
              </w:rPr>
              <w:t>Halton</w:t>
            </w:r>
            <w:proofErr w:type="spellEnd"/>
            <w:r w:rsidRPr="00F65FAF">
              <w:rPr>
                <w:sz w:val="24"/>
                <w:szCs w:val="24"/>
              </w:rPr>
              <w:t xml:space="preserve"> Healthcare we use the Confusion Assessment Method (CAM). </w:t>
            </w:r>
          </w:p>
          <w:p w:rsidR="00110148" w:rsidRPr="00E9258B" w:rsidRDefault="00110148" w:rsidP="00110148">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333B82" w:rsidRPr="00333B82" w:rsidRDefault="00333B82" w:rsidP="00333B82">
            <w:pPr>
              <w:rPr>
                <w:sz w:val="24"/>
                <w:szCs w:val="24"/>
                <w:lang w:val="en-CA"/>
              </w:rPr>
            </w:pPr>
            <w:r w:rsidRPr="00333B82">
              <w:rPr>
                <w:b/>
                <w:bCs/>
                <w:sz w:val="24"/>
                <w:szCs w:val="24"/>
                <w:lang w:val="en-CA"/>
              </w:rPr>
              <w:t xml:space="preserve">Melissa Monardo OT Reg. (Ont.) </w:t>
            </w:r>
            <w:r w:rsidRPr="00333B82">
              <w:rPr>
                <w:sz w:val="24"/>
                <w:szCs w:val="24"/>
                <w:lang w:val="en-CA"/>
              </w:rPr>
              <w:br/>
              <w:t>Health Disciplines Professional Practice Leader</w:t>
            </w:r>
          </w:p>
          <w:p w:rsidR="00333B82" w:rsidRPr="00333B82" w:rsidRDefault="00333B82" w:rsidP="00333B82">
            <w:pPr>
              <w:rPr>
                <w:sz w:val="24"/>
                <w:szCs w:val="24"/>
                <w:lang w:val="en-CA"/>
              </w:rPr>
            </w:pPr>
            <w:proofErr w:type="spellStart"/>
            <w:r w:rsidRPr="00333B82">
              <w:rPr>
                <w:sz w:val="24"/>
                <w:szCs w:val="24"/>
                <w:lang w:val="en-CA"/>
              </w:rPr>
              <w:lastRenderedPageBreak/>
              <w:t>Interprofessional</w:t>
            </w:r>
            <w:proofErr w:type="spellEnd"/>
            <w:r w:rsidRPr="00333B82">
              <w:rPr>
                <w:sz w:val="24"/>
                <w:szCs w:val="24"/>
                <w:lang w:val="en-CA"/>
              </w:rPr>
              <w:t xml:space="preserve"> Practice</w:t>
            </w:r>
          </w:p>
          <w:p w:rsidR="00333B82" w:rsidRPr="00333B82" w:rsidRDefault="00333B82" w:rsidP="00333B82">
            <w:pPr>
              <w:rPr>
                <w:sz w:val="24"/>
                <w:szCs w:val="24"/>
                <w:lang w:val="en-CA"/>
              </w:rPr>
            </w:pPr>
            <w:proofErr w:type="spellStart"/>
            <w:r w:rsidRPr="00333B82">
              <w:rPr>
                <w:sz w:val="24"/>
                <w:szCs w:val="24"/>
                <w:lang w:val="en-CA"/>
              </w:rPr>
              <w:t>Lakeridge</w:t>
            </w:r>
            <w:proofErr w:type="spellEnd"/>
            <w:r w:rsidRPr="00333B82">
              <w:rPr>
                <w:sz w:val="24"/>
                <w:szCs w:val="24"/>
                <w:lang w:val="en-CA"/>
              </w:rPr>
              <w:t xml:space="preserve"> Health </w:t>
            </w:r>
            <w:r w:rsidRPr="00333B82">
              <w:rPr>
                <w:sz w:val="24"/>
                <w:szCs w:val="24"/>
                <w:lang w:val="en-CA"/>
              </w:rPr>
              <w:br/>
              <w:t>T. 905.576.8711 ext.33876</w:t>
            </w:r>
          </w:p>
          <w:p w:rsidR="00333B82" w:rsidRPr="00333B82" w:rsidRDefault="00333B82" w:rsidP="00333B82">
            <w:pPr>
              <w:rPr>
                <w:b/>
                <w:bCs/>
                <w:sz w:val="24"/>
                <w:szCs w:val="24"/>
                <w:lang w:val="en-CA"/>
              </w:rPr>
            </w:pPr>
            <w:r w:rsidRPr="00333B82">
              <w:rPr>
                <w:sz w:val="24"/>
                <w:szCs w:val="24"/>
                <w:lang w:val="en-CA"/>
              </w:rPr>
              <w:t>C: 905.252.6617</w:t>
            </w:r>
          </w:p>
          <w:p w:rsidR="00333B82" w:rsidRPr="00333B82" w:rsidRDefault="00235F31" w:rsidP="00333B82">
            <w:pPr>
              <w:rPr>
                <w:sz w:val="24"/>
                <w:szCs w:val="24"/>
                <w:lang w:val="en-CA"/>
              </w:rPr>
            </w:pPr>
            <w:hyperlink r:id="rId10" w:history="1">
              <w:r w:rsidR="00333B82" w:rsidRPr="00333B82">
                <w:rPr>
                  <w:rStyle w:val="Hyperlink"/>
                  <w:sz w:val="24"/>
                  <w:szCs w:val="24"/>
                  <w:lang w:val="en-CA"/>
                </w:rPr>
                <w:t>mmonardo@lh.ca</w:t>
              </w:r>
            </w:hyperlink>
          </w:p>
          <w:p w:rsidR="00333B82" w:rsidRPr="00333B82" w:rsidRDefault="00333B82" w:rsidP="00333B82">
            <w:pPr>
              <w:rPr>
                <w:sz w:val="24"/>
                <w:szCs w:val="24"/>
              </w:rPr>
            </w:pPr>
          </w:p>
          <w:p w:rsidR="00110148" w:rsidRPr="00E9258B" w:rsidRDefault="00110148" w:rsidP="002C4D62">
            <w:pPr>
              <w:rPr>
                <w:sz w:val="24"/>
                <w:szCs w:val="24"/>
              </w:rPr>
            </w:pPr>
          </w:p>
        </w:tc>
        <w:tc>
          <w:tcPr>
            <w:tcW w:w="8531" w:type="dxa"/>
            <w:shd w:val="clear" w:color="auto" w:fill="auto"/>
          </w:tcPr>
          <w:p w:rsidR="00333B82" w:rsidRPr="00333B82" w:rsidRDefault="00333B82" w:rsidP="00333B82">
            <w:pPr>
              <w:rPr>
                <w:rFonts w:ascii="Calibri" w:eastAsia="Calibri" w:hAnsi="Calibri" w:cs="Calibri"/>
                <w:color w:val="1F497D"/>
                <w:sz w:val="22"/>
                <w:szCs w:val="22"/>
              </w:rPr>
            </w:pPr>
            <w:r w:rsidRPr="00333B82">
              <w:rPr>
                <w:rFonts w:ascii="Calibri" w:eastAsia="Calibri" w:hAnsi="Calibri" w:cs="Calibri"/>
                <w:color w:val="1F497D"/>
                <w:sz w:val="22"/>
                <w:szCs w:val="22"/>
              </w:rPr>
              <w:lastRenderedPageBreak/>
              <w:t xml:space="preserve">At present the ED only uses the CAM (Confusion Assessment Method) to screen for delirium. </w:t>
            </w:r>
          </w:p>
          <w:p w:rsidR="00110148" w:rsidRPr="00E9258B" w:rsidRDefault="00110148" w:rsidP="002C4D62">
            <w:pPr>
              <w:rPr>
                <w:sz w:val="24"/>
                <w:szCs w:val="24"/>
              </w:rPr>
            </w:pPr>
          </w:p>
        </w:tc>
        <w:tc>
          <w:tcPr>
            <w:tcW w:w="2192" w:type="dxa"/>
            <w:shd w:val="clear" w:color="auto" w:fill="auto"/>
          </w:tcPr>
          <w:p w:rsidR="00D41EFD" w:rsidRPr="00E9258B" w:rsidRDefault="00D41EFD" w:rsidP="002C4D62">
            <w:pPr>
              <w:rPr>
                <w:sz w:val="24"/>
                <w:szCs w:val="24"/>
              </w:rPr>
            </w:pPr>
          </w:p>
        </w:tc>
      </w:tr>
      <w:tr w:rsidR="00110148" w:rsidRPr="00E9258B" w:rsidTr="002C4D62">
        <w:trPr>
          <w:trHeight w:val="302"/>
        </w:trPr>
        <w:tc>
          <w:tcPr>
            <w:tcW w:w="3137" w:type="dxa"/>
            <w:shd w:val="clear" w:color="auto" w:fill="auto"/>
          </w:tcPr>
          <w:p w:rsidR="00A81170" w:rsidRPr="00A81170" w:rsidRDefault="00A81170" w:rsidP="00A81170">
            <w:pPr>
              <w:rPr>
                <w:rFonts w:ascii="Lucida Sans" w:eastAsia="Calibri" w:hAnsi="Lucida Sans" w:cs="Calibri"/>
                <w:b/>
                <w:bCs/>
                <w:color w:val="1F3864"/>
                <w:sz w:val="24"/>
                <w:szCs w:val="24"/>
                <w:lang w:val="en-CA"/>
              </w:rPr>
            </w:pPr>
            <w:r w:rsidRPr="00A81170">
              <w:rPr>
                <w:rFonts w:ascii="Lucida Sans" w:eastAsia="Calibri" w:hAnsi="Lucida Sans" w:cs="Calibri"/>
                <w:b/>
                <w:bCs/>
                <w:color w:val="1F3864"/>
                <w:sz w:val="24"/>
                <w:szCs w:val="24"/>
                <w:lang w:val="en-CA"/>
              </w:rPr>
              <w:t xml:space="preserve">Adele </w:t>
            </w:r>
            <w:proofErr w:type="spellStart"/>
            <w:r w:rsidRPr="00A81170">
              <w:rPr>
                <w:rFonts w:ascii="Lucida Sans" w:eastAsia="Calibri" w:hAnsi="Lucida Sans" w:cs="Calibri"/>
                <w:b/>
                <w:bCs/>
                <w:color w:val="1F3864"/>
                <w:sz w:val="24"/>
                <w:szCs w:val="24"/>
                <w:lang w:val="en-CA"/>
              </w:rPr>
              <w:t>Bodson</w:t>
            </w:r>
            <w:proofErr w:type="spellEnd"/>
            <w:r w:rsidRPr="00A81170">
              <w:rPr>
                <w:rFonts w:ascii="Lucida Sans" w:eastAsia="Calibri" w:hAnsi="Lucida Sans" w:cs="Calibri"/>
                <w:b/>
                <w:bCs/>
                <w:color w:val="1F3864"/>
                <w:sz w:val="24"/>
                <w:szCs w:val="24"/>
                <w:lang w:val="en-CA"/>
              </w:rPr>
              <w:t xml:space="preserve"> </w:t>
            </w:r>
            <w:r w:rsidRPr="00A81170">
              <w:rPr>
                <w:rFonts w:ascii="Lucida Sans" w:eastAsia="Calibri" w:hAnsi="Lucida Sans" w:cs="Calibri"/>
                <w:b/>
                <w:bCs/>
                <w:color w:val="1F3864"/>
                <w:sz w:val="22"/>
                <w:szCs w:val="22"/>
                <w:lang w:val="en-CA"/>
              </w:rPr>
              <w:t xml:space="preserve">RN </w:t>
            </w:r>
            <w:proofErr w:type="spellStart"/>
            <w:r w:rsidRPr="00A81170">
              <w:rPr>
                <w:rFonts w:ascii="Lucida Sans" w:eastAsia="Calibri" w:hAnsi="Lucida Sans" w:cs="Calibri"/>
                <w:b/>
                <w:bCs/>
                <w:color w:val="1F3864"/>
                <w:sz w:val="22"/>
                <w:szCs w:val="22"/>
                <w:lang w:val="en-CA"/>
              </w:rPr>
              <w:t>BScN</w:t>
            </w:r>
            <w:proofErr w:type="spellEnd"/>
          </w:p>
          <w:p w:rsidR="00A81170" w:rsidRPr="00A81170" w:rsidRDefault="00A81170" w:rsidP="00A81170">
            <w:pPr>
              <w:rPr>
                <w:rFonts w:ascii="Arial Rounded MT Bold" w:eastAsia="Calibri" w:hAnsi="Arial Rounded MT Bold" w:cs="Calibri"/>
                <w:color w:val="1F4E79"/>
                <w:sz w:val="22"/>
                <w:szCs w:val="22"/>
                <w:lang w:val="en-CA"/>
              </w:rPr>
            </w:pPr>
            <w:r w:rsidRPr="00A81170">
              <w:rPr>
                <w:rFonts w:ascii="Arial Rounded MT Bold" w:eastAsia="Calibri" w:hAnsi="Arial Rounded MT Bold" w:cs="Calibri"/>
                <w:color w:val="1F4E79"/>
                <w:sz w:val="22"/>
                <w:szCs w:val="22"/>
                <w:lang w:val="en-CA"/>
              </w:rPr>
              <w:t>Nurse Clinician</w:t>
            </w:r>
          </w:p>
          <w:p w:rsidR="00A81170" w:rsidRPr="00A81170" w:rsidRDefault="00A81170" w:rsidP="00A81170">
            <w:pPr>
              <w:rPr>
                <w:rFonts w:ascii="Arial Rounded MT Bold" w:eastAsia="Calibri" w:hAnsi="Arial Rounded MT Bold" w:cs="Calibri"/>
                <w:color w:val="1F4E79"/>
                <w:sz w:val="22"/>
                <w:szCs w:val="22"/>
                <w:lang w:val="en-CA"/>
              </w:rPr>
            </w:pPr>
            <w:r w:rsidRPr="00A81170">
              <w:rPr>
                <w:rFonts w:ascii="Arial Rounded MT Bold" w:eastAsia="Calibri" w:hAnsi="Arial Rounded MT Bold" w:cs="Calibri"/>
                <w:color w:val="1F4E79"/>
                <w:sz w:val="22"/>
                <w:szCs w:val="22"/>
                <w:lang w:val="en-CA"/>
              </w:rPr>
              <w:t>Emergency Department</w:t>
            </w:r>
          </w:p>
          <w:p w:rsidR="00A81170" w:rsidRPr="00A81170" w:rsidRDefault="00A81170" w:rsidP="00A81170">
            <w:pPr>
              <w:rPr>
                <w:rFonts w:ascii="Calibri" w:eastAsia="Calibri" w:hAnsi="Calibri" w:cs="Calibri"/>
                <w:color w:val="000000"/>
                <w:lang w:val="en-CA"/>
              </w:rPr>
            </w:pPr>
            <w:r w:rsidRPr="00A81170">
              <w:rPr>
                <w:rFonts w:ascii="Calibri" w:eastAsia="Calibri" w:hAnsi="Calibri" w:cs="Calibri"/>
                <w:color w:val="000000"/>
                <w:lang w:val="en-CA"/>
              </w:rPr>
              <w:t xml:space="preserve">705-532-7100 </w:t>
            </w:r>
            <w:proofErr w:type="spellStart"/>
            <w:r w:rsidRPr="00A81170">
              <w:rPr>
                <w:rFonts w:ascii="Calibri" w:eastAsia="Calibri" w:hAnsi="Calibri" w:cs="Calibri"/>
                <w:color w:val="000000"/>
                <w:lang w:val="en-CA"/>
              </w:rPr>
              <w:t>ext</w:t>
            </w:r>
            <w:proofErr w:type="spellEnd"/>
            <w:r w:rsidRPr="00A81170">
              <w:rPr>
                <w:rFonts w:ascii="Calibri" w:eastAsia="Calibri" w:hAnsi="Calibri" w:cs="Calibri"/>
                <w:color w:val="000000"/>
                <w:lang w:val="en-CA"/>
              </w:rPr>
              <w:t xml:space="preserve"> 1654</w:t>
            </w:r>
          </w:p>
          <w:p w:rsidR="00A81170" w:rsidRPr="00A81170" w:rsidRDefault="00A81170" w:rsidP="00A81170">
            <w:pPr>
              <w:rPr>
                <w:rFonts w:ascii="Calibri" w:eastAsia="Calibri" w:hAnsi="Calibri" w:cs="Calibri"/>
                <w:color w:val="000000"/>
                <w:lang w:val="en-CA"/>
              </w:rPr>
            </w:pPr>
            <w:r w:rsidRPr="00A81170">
              <w:rPr>
                <w:rFonts w:ascii="Calibri" w:eastAsia="Calibri" w:hAnsi="Calibri" w:cs="Calibri"/>
                <w:color w:val="000000"/>
                <w:lang w:val="en-CA"/>
              </w:rPr>
              <w:t>Fax: 705-705-671-7360</w:t>
            </w:r>
          </w:p>
          <w:p w:rsidR="00A81170" w:rsidRPr="00A81170" w:rsidRDefault="00235F31" w:rsidP="00A81170">
            <w:pPr>
              <w:rPr>
                <w:rFonts w:ascii="Calibri" w:eastAsia="Calibri" w:hAnsi="Calibri" w:cs="Calibri"/>
                <w:b/>
                <w:bCs/>
                <w:color w:val="000000"/>
                <w:sz w:val="22"/>
                <w:szCs w:val="22"/>
                <w:lang w:val="en-CA"/>
              </w:rPr>
            </w:pPr>
            <w:hyperlink r:id="rId11" w:history="1">
              <w:r w:rsidR="00A81170" w:rsidRPr="00A81170">
                <w:rPr>
                  <w:rFonts w:ascii="Calibri" w:eastAsia="Calibri" w:hAnsi="Calibri" w:cs="Calibri"/>
                  <w:b/>
                  <w:bCs/>
                  <w:color w:val="0563C1"/>
                  <w:sz w:val="22"/>
                  <w:szCs w:val="22"/>
                  <w:u w:val="single"/>
                  <w:lang w:val="en-CA"/>
                </w:rPr>
                <w:t>abodson@hsnsudbury.ca</w:t>
              </w:r>
            </w:hyperlink>
          </w:p>
          <w:p w:rsidR="00110148" w:rsidRPr="00E9258B" w:rsidRDefault="00110148" w:rsidP="002C4D62">
            <w:pPr>
              <w:rPr>
                <w:sz w:val="24"/>
                <w:szCs w:val="24"/>
              </w:rPr>
            </w:pPr>
          </w:p>
        </w:tc>
        <w:tc>
          <w:tcPr>
            <w:tcW w:w="8531" w:type="dxa"/>
            <w:shd w:val="clear" w:color="auto" w:fill="auto"/>
          </w:tcPr>
          <w:p w:rsidR="00A81170" w:rsidRPr="00A81170" w:rsidRDefault="00A81170" w:rsidP="00A81170">
            <w:pPr>
              <w:rPr>
                <w:rFonts w:eastAsia="Calibri"/>
                <w:color w:val="000000"/>
                <w:sz w:val="24"/>
                <w:szCs w:val="24"/>
                <w:lang w:val="en-CA"/>
              </w:rPr>
            </w:pPr>
            <w:r w:rsidRPr="00A81170">
              <w:rPr>
                <w:rFonts w:eastAsia="Calibri"/>
                <w:color w:val="000000"/>
                <w:sz w:val="24"/>
                <w:szCs w:val="24"/>
                <w:lang w:val="en-CA"/>
              </w:rPr>
              <w:t>We do use the CAM assessment tool with our GEM (geriatric emergency management) program. It is not routinely used by primary nursing staff.</w:t>
            </w:r>
          </w:p>
          <w:p w:rsidR="00A81170" w:rsidRPr="00A81170" w:rsidRDefault="00A81170" w:rsidP="00A81170">
            <w:pPr>
              <w:rPr>
                <w:rFonts w:eastAsia="Calibri"/>
                <w:color w:val="000000"/>
                <w:sz w:val="24"/>
                <w:szCs w:val="24"/>
                <w:lang w:val="en-CA"/>
              </w:rPr>
            </w:pPr>
          </w:p>
          <w:p w:rsidR="00A81170" w:rsidRPr="00A81170" w:rsidRDefault="00A81170" w:rsidP="00A81170">
            <w:pPr>
              <w:rPr>
                <w:rFonts w:eastAsia="Calibri"/>
                <w:color w:val="000000"/>
                <w:sz w:val="24"/>
                <w:szCs w:val="24"/>
                <w:lang w:val="en-CA"/>
              </w:rPr>
            </w:pPr>
            <w:r w:rsidRPr="00A81170">
              <w:rPr>
                <w:rFonts w:eastAsia="Calibri"/>
                <w:color w:val="000000"/>
                <w:sz w:val="24"/>
                <w:szCs w:val="24"/>
                <w:lang w:val="en-CA"/>
              </w:rPr>
              <w:t>Hope that helps</w:t>
            </w:r>
          </w:p>
          <w:p w:rsidR="00110148" w:rsidRPr="00E9258B" w:rsidRDefault="00110148" w:rsidP="002C4D62">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235F31" w:rsidRPr="00235F31" w:rsidRDefault="00235F31" w:rsidP="00235F31">
            <w:pPr>
              <w:rPr>
                <w:rFonts w:ascii="Calibri" w:eastAsia="Calibri" w:hAnsi="Calibri" w:cs="Calibri"/>
                <w:color w:val="000000"/>
                <w:sz w:val="24"/>
                <w:szCs w:val="24"/>
              </w:rPr>
            </w:pPr>
            <w:r w:rsidRPr="00235F31">
              <w:rPr>
                <w:rFonts w:ascii="Calibri" w:eastAsia="Calibri" w:hAnsi="Calibri" w:cs="Calibri"/>
                <w:color w:val="000000"/>
                <w:sz w:val="24"/>
                <w:szCs w:val="24"/>
              </w:rPr>
              <w:t>Sarah Leitch RPN</w:t>
            </w:r>
          </w:p>
          <w:p w:rsidR="00235F31" w:rsidRPr="00235F31" w:rsidRDefault="00235F31" w:rsidP="00235F31">
            <w:pPr>
              <w:rPr>
                <w:rFonts w:ascii="Calibri" w:eastAsia="Calibri" w:hAnsi="Calibri" w:cs="Calibri"/>
                <w:color w:val="000000"/>
                <w:sz w:val="24"/>
                <w:szCs w:val="24"/>
              </w:rPr>
            </w:pPr>
            <w:proofErr w:type="spellStart"/>
            <w:r w:rsidRPr="00235F31">
              <w:rPr>
                <w:rFonts w:ascii="Calibri" w:eastAsia="Calibri" w:hAnsi="Calibri" w:cs="Calibri"/>
                <w:color w:val="000000"/>
                <w:sz w:val="24"/>
                <w:szCs w:val="24"/>
              </w:rPr>
              <w:t>Quinte</w:t>
            </w:r>
            <w:proofErr w:type="spellEnd"/>
            <w:r w:rsidRPr="00235F31">
              <w:rPr>
                <w:rFonts w:ascii="Calibri" w:eastAsia="Calibri" w:hAnsi="Calibri" w:cs="Calibri"/>
                <w:color w:val="000000"/>
                <w:sz w:val="24"/>
                <w:szCs w:val="24"/>
              </w:rPr>
              <w:t xml:space="preserve"> Health Care</w:t>
            </w:r>
          </w:p>
          <w:p w:rsidR="00110148" w:rsidRPr="00E9258B" w:rsidRDefault="00110148" w:rsidP="002C4D62">
            <w:pPr>
              <w:rPr>
                <w:sz w:val="24"/>
                <w:szCs w:val="24"/>
              </w:rPr>
            </w:pPr>
          </w:p>
        </w:tc>
        <w:tc>
          <w:tcPr>
            <w:tcW w:w="8531" w:type="dxa"/>
            <w:shd w:val="clear" w:color="auto" w:fill="auto"/>
          </w:tcPr>
          <w:p w:rsidR="00235F31" w:rsidRPr="00235F31" w:rsidRDefault="00235F31" w:rsidP="00235F31">
            <w:pPr>
              <w:rPr>
                <w:rFonts w:ascii="Calibri" w:eastAsia="Calibri" w:hAnsi="Calibri" w:cs="Calibri"/>
                <w:color w:val="000000"/>
                <w:sz w:val="24"/>
                <w:szCs w:val="24"/>
              </w:rPr>
            </w:pPr>
            <w:r w:rsidRPr="00235F31">
              <w:rPr>
                <w:rFonts w:ascii="Calibri" w:eastAsia="Calibri" w:hAnsi="Calibri" w:cs="Calibri"/>
                <w:color w:val="000000"/>
                <w:sz w:val="24"/>
                <w:szCs w:val="24"/>
              </w:rPr>
              <w:t>At QHC we us the SIS (six item screener) as well as the CAM (confusion assessment method) to screen for delirium in the ER.</w:t>
            </w:r>
          </w:p>
          <w:p w:rsidR="00110148" w:rsidRPr="00E9258B" w:rsidRDefault="00110148" w:rsidP="002C4D62">
            <w:pPr>
              <w:rPr>
                <w:sz w:val="24"/>
                <w:szCs w:val="24"/>
              </w:rPr>
            </w:pPr>
            <w:bookmarkStart w:id="12" w:name="_GoBack"/>
            <w:bookmarkEnd w:id="12"/>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110148" w:rsidRPr="009739BC" w:rsidRDefault="00110148" w:rsidP="002C4D62">
            <w:pPr>
              <w:rPr>
                <w:rFonts w:ascii="Centaur" w:hAnsi="Centaur"/>
                <w:color w:val="17365D"/>
                <w:sz w:val="24"/>
                <w:szCs w:val="24"/>
              </w:rPr>
            </w:pPr>
          </w:p>
        </w:tc>
        <w:tc>
          <w:tcPr>
            <w:tcW w:w="8531" w:type="dxa"/>
            <w:shd w:val="clear" w:color="auto" w:fill="auto"/>
          </w:tcPr>
          <w:p w:rsidR="00110148" w:rsidRPr="00E9258B" w:rsidRDefault="00110148" w:rsidP="002C4D62">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110148" w:rsidRPr="00E9258B" w:rsidRDefault="00110148" w:rsidP="002C4D62">
            <w:pPr>
              <w:rPr>
                <w:sz w:val="28"/>
                <w:szCs w:val="28"/>
              </w:rPr>
            </w:pPr>
          </w:p>
        </w:tc>
        <w:tc>
          <w:tcPr>
            <w:tcW w:w="8531" w:type="dxa"/>
            <w:shd w:val="clear" w:color="auto" w:fill="auto"/>
          </w:tcPr>
          <w:p w:rsidR="00110148" w:rsidRPr="00E9258B" w:rsidRDefault="00110148" w:rsidP="002C4D62">
            <w:pPr>
              <w:rPr>
                <w:sz w:val="28"/>
                <w:szCs w:val="28"/>
              </w:rPr>
            </w:pPr>
          </w:p>
        </w:tc>
        <w:tc>
          <w:tcPr>
            <w:tcW w:w="2192" w:type="dxa"/>
            <w:shd w:val="clear" w:color="auto" w:fill="auto"/>
          </w:tcPr>
          <w:p w:rsidR="00110148" w:rsidRPr="00E9258B" w:rsidRDefault="00110148" w:rsidP="002C4D62">
            <w:pPr>
              <w:rPr>
                <w:sz w:val="28"/>
                <w:szCs w:val="28"/>
              </w:rPr>
            </w:pPr>
          </w:p>
        </w:tc>
      </w:tr>
    </w:tbl>
    <w:p w:rsidR="00110148" w:rsidRDefault="00110148" w:rsidP="00110148">
      <w:pPr>
        <w:autoSpaceDE w:val="0"/>
        <w:autoSpaceDN w:val="0"/>
        <w:adjustRightInd w:val="0"/>
        <w:rPr>
          <w:sz w:val="24"/>
          <w:szCs w:val="24"/>
        </w:rPr>
      </w:pPr>
    </w:p>
    <w:p w:rsidR="00110148" w:rsidRPr="00B62563" w:rsidRDefault="00110148" w:rsidP="00110148">
      <w:pPr>
        <w:autoSpaceDE w:val="0"/>
        <w:autoSpaceDN w:val="0"/>
        <w:adjustRightInd w:val="0"/>
        <w:rPr>
          <w:sz w:val="24"/>
          <w:szCs w:val="24"/>
        </w:rPr>
      </w:pPr>
      <w:r>
        <w:rPr>
          <w:sz w:val="24"/>
          <w:szCs w:val="24"/>
        </w:rPr>
        <w:t xml:space="preserve">*Imbedding Attachments: </w:t>
      </w:r>
      <w:r w:rsidRPr="00B62563">
        <w:rPr>
          <w:sz w:val="24"/>
          <w:szCs w:val="24"/>
        </w:rPr>
        <w:t>When in a document, with the cursor in the place where you wish to insert another document as an icon, Go to Insert</w:t>
      </w:r>
      <w:r>
        <w:rPr>
          <w:sz w:val="24"/>
          <w:szCs w:val="24"/>
        </w:rPr>
        <w:t>,</w:t>
      </w:r>
      <w:r w:rsidRPr="00B62563">
        <w:rPr>
          <w:sz w:val="24"/>
          <w:szCs w:val="24"/>
        </w:rPr>
        <w:t xml:space="preserve"> </w:t>
      </w:r>
      <w:r>
        <w:rPr>
          <w:sz w:val="24"/>
          <w:szCs w:val="24"/>
        </w:rPr>
        <w:t>c</w:t>
      </w:r>
      <w:r w:rsidRPr="00B62563">
        <w:rPr>
          <w:sz w:val="24"/>
          <w:szCs w:val="24"/>
        </w:rPr>
        <w:t xml:space="preserve">hoose "Object" (not 'file') </w:t>
      </w:r>
      <w:r>
        <w:rPr>
          <w:sz w:val="24"/>
          <w:szCs w:val="24"/>
        </w:rPr>
        <w:t>c</w:t>
      </w:r>
      <w:r w:rsidRPr="00B62563">
        <w:rPr>
          <w:sz w:val="24"/>
          <w:szCs w:val="24"/>
        </w:rPr>
        <w:t xml:space="preserve">hoose "Create from File" </w:t>
      </w:r>
      <w:r>
        <w:rPr>
          <w:sz w:val="24"/>
          <w:szCs w:val="24"/>
        </w:rPr>
        <w:t>b</w:t>
      </w:r>
      <w:r w:rsidRPr="00B62563">
        <w:rPr>
          <w:sz w:val="24"/>
          <w:szCs w:val="24"/>
        </w:rPr>
        <w:t>rowse for the file name</w:t>
      </w:r>
      <w:r>
        <w:rPr>
          <w:sz w:val="24"/>
          <w:szCs w:val="24"/>
        </w:rPr>
        <w:t xml:space="preserve"> from your directory, once found, c</w:t>
      </w:r>
      <w:r w:rsidRPr="00B62563">
        <w:rPr>
          <w:sz w:val="24"/>
          <w:szCs w:val="24"/>
        </w:rPr>
        <w:t>heck off "Display as Icon"</w:t>
      </w:r>
      <w:r>
        <w:rPr>
          <w:sz w:val="24"/>
          <w:szCs w:val="24"/>
        </w:rPr>
        <w:t xml:space="preserve"> s</w:t>
      </w:r>
      <w:r w:rsidRPr="00B62563">
        <w:rPr>
          <w:sz w:val="24"/>
          <w:szCs w:val="24"/>
        </w:rPr>
        <w:t>elect "OK” The</w:t>
      </w:r>
      <w:r>
        <w:rPr>
          <w:sz w:val="24"/>
          <w:szCs w:val="24"/>
        </w:rPr>
        <w:t xml:space="preserve"> document Icon now appears in this document where your cursor was positioned.  Save the document you are working in and the imbedded icon with the document they relate to attached will also be saved to this document.</w:t>
      </w:r>
    </w:p>
    <w:p w:rsidR="007E0F47" w:rsidRDefault="007E0F47"/>
    <w:sectPr w:rsidR="007E0F47"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110148"/>
    <w:rsid w:val="00235F31"/>
    <w:rsid w:val="0032378C"/>
    <w:rsid w:val="00333B82"/>
    <w:rsid w:val="00493FFB"/>
    <w:rsid w:val="004970A2"/>
    <w:rsid w:val="00661DF8"/>
    <w:rsid w:val="00756A28"/>
    <w:rsid w:val="007E0F47"/>
    <w:rsid w:val="008E44B1"/>
    <w:rsid w:val="00A81170"/>
    <w:rsid w:val="00C8259B"/>
    <w:rsid w:val="00D41EFD"/>
    <w:rsid w:val="00E059DC"/>
    <w:rsid w:val="00F6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7D9DA25-55FA-4AF1-BC91-46024A3A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12987582">
      <w:bodyDiv w:val="1"/>
      <w:marLeft w:val="0"/>
      <w:marRight w:val="0"/>
      <w:marTop w:val="0"/>
      <w:marBottom w:val="0"/>
      <w:divBdr>
        <w:top w:val="none" w:sz="0" w:space="0" w:color="auto"/>
        <w:left w:val="none" w:sz="0" w:space="0" w:color="auto"/>
        <w:bottom w:val="none" w:sz="0" w:space="0" w:color="auto"/>
        <w:right w:val="none" w:sz="0" w:space="0" w:color="auto"/>
      </w:divBdr>
    </w:div>
    <w:div w:id="237982612">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483937745">
      <w:bodyDiv w:val="1"/>
      <w:marLeft w:val="0"/>
      <w:marRight w:val="0"/>
      <w:marTop w:val="0"/>
      <w:marBottom w:val="0"/>
      <w:divBdr>
        <w:top w:val="none" w:sz="0" w:space="0" w:color="auto"/>
        <w:left w:val="none" w:sz="0" w:space="0" w:color="auto"/>
        <w:bottom w:val="none" w:sz="0" w:space="0" w:color="auto"/>
        <w:right w:val="none" w:sz="0" w:space="0" w:color="auto"/>
      </w:divBdr>
    </w:div>
    <w:div w:id="581526473">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05520628">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823394927">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961227304">
      <w:bodyDiv w:val="1"/>
      <w:marLeft w:val="0"/>
      <w:marRight w:val="0"/>
      <w:marTop w:val="0"/>
      <w:marBottom w:val="0"/>
      <w:divBdr>
        <w:top w:val="none" w:sz="0" w:space="0" w:color="auto"/>
        <w:left w:val="none" w:sz="0" w:space="0" w:color="auto"/>
        <w:bottom w:val="none" w:sz="0" w:space="0" w:color="auto"/>
        <w:right w:val="none" w:sz="0" w:space="0" w:color="auto"/>
      </w:divBdr>
    </w:div>
    <w:div w:id="1006440976">
      <w:bodyDiv w:val="1"/>
      <w:marLeft w:val="0"/>
      <w:marRight w:val="0"/>
      <w:marTop w:val="0"/>
      <w:marBottom w:val="0"/>
      <w:divBdr>
        <w:top w:val="none" w:sz="0" w:space="0" w:color="auto"/>
        <w:left w:val="none" w:sz="0" w:space="0" w:color="auto"/>
        <w:bottom w:val="none" w:sz="0" w:space="0" w:color="auto"/>
        <w:right w:val="none" w:sz="0" w:space="0" w:color="auto"/>
      </w:divBdr>
    </w:div>
    <w:div w:id="1223902494">
      <w:bodyDiv w:val="1"/>
      <w:marLeft w:val="0"/>
      <w:marRight w:val="0"/>
      <w:marTop w:val="0"/>
      <w:marBottom w:val="0"/>
      <w:divBdr>
        <w:top w:val="none" w:sz="0" w:space="0" w:color="auto"/>
        <w:left w:val="none" w:sz="0" w:space="0" w:color="auto"/>
        <w:bottom w:val="none" w:sz="0" w:space="0" w:color="auto"/>
        <w:right w:val="none" w:sz="0" w:space="0" w:color="auto"/>
      </w:divBdr>
    </w:div>
    <w:div w:id="1281063730">
      <w:bodyDiv w:val="1"/>
      <w:marLeft w:val="0"/>
      <w:marRight w:val="0"/>
      <w:marTop w:val="0"/>
      <w:marBottom w:val="0"/>
      <w:divBdr>
        <w:top w:val="none" w:sz="0" w:space="0" w:color="auto"/>
        <w:left w:val="none" w:sz="0" w:space="0" w:color="auto"/>
        <w:bottom w:val="none" w:sz="0" w:space="0" w:color="auto"/>
        <w:right w:val="none" w:sz="0" w:space="0" w:color="auto"/>
      </w:divBdr>
    </w:div>
    <w:div w:id="1391071996">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701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vh.on.ca/" TargetMode="External"/><Relationship Id="rId11" Type="http://schemas.openxmlformats.org/officeDocument/2006/relationships/hyperlink" Target="mailto:abodson@hsnsudbury.ca" TargetMode="External"/><Relationship Id="rId5" Type="http://schemas.openxmlformats.org/officeDocument/2006/relationships/hyperlink" Target="mailto:pelletierm@rvh.on.ca" TargetMode="External"/><Relationship Id="rId10" Type="http://schemas.openxmlformats.org/officeDocument/2006/relationships/hyperlink" Target="mailto:mmonardo@lh.ca" TargetMode="External"/><Relationship Id="rId4" Type="http://schemas.openxmlformats.org/officeDocument/2006/relationships/hyperlink" Target="mailto:angela.chan@mackenziehealth.ca" TargetMode="External"/><Relationship Id="rId9" Type="http://schemas.openxmlformats.org/officeDocument/2006/relationships/hyperlink" Target="mailto:clattohall@haltonhealthcare.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Ste-Croix, Suzanne</dc:creator>
  <cp:lastModifiedBy>Manley-Bakker, Deborah</cp:lastModifiedBy>
  <cp:revision>7</cp:revision>
  <dcterms:created xsi:type="dcterms:W3CDTF">2020-09-15T16:48:00Z</dcterms:created>
  <dcterms:modified xsi:type="dcterms:W3CDTF">2020-09-24T11:46:00Z</dcterms:modified>
</cp:coreProperties>
</file>