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1"/>
      </w:tblGrid>
      <w:tr w:rsidR="00CE077E" w:rsidRPr="00CE077E" w:rsidTr="00B3224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108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2"/>
              <w:gridCol w:w="2664"/>
              <w:gridCol w:w="3609"/>
            </w:tblGrid>
            <w:tr w:rsidR="00CE077E" w:rsidRPr="00CE077E" w:rsidTr="006A1767">
              <w:tc>
                <w:tcPr>
                  <w:tcW w:w="1108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077E" w:rsidRPr="00CE077E" w:rsidRDefault="00CE077E" w:rsidP="00CE077E">
                  <w:r w:rsidRPr="00CE077E">
                    <w:rPr>
                      <w:b/>
                      <w:bCs/>
                    </w:rPr>
                    <w:t>Huron Perth Healthcare Alliance</w:t>
                  </w:r>
                </w:p>
              </w:tc>
            </w:tr>
            <w:tr w:rsidR="00197746" w:rsidRPr="00CE077E" w:rsidTr="006A1767">
              <w:tc>
                <w:tcPr>
                  <w:tcW w:w="4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077E" w:rsidRPr="00CE077E" w:rsidRDefault="00CE077E" w:rsidP="00CE077E">
                  <w:r w:rsidRPr="00CE077E">
                    <w:rPr>
                      <w:b/>
                      <w:bCs/>
                    </w:rPr>
                    <w:t>1. Clinical Policies and Procedures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077E" w:rsidRPr="00CE077E" w:rsidRDefault="00CE077E" w:rsidP="00CE077E">
                  <w:r w:rsidRPr="00CE077E">
                    <w:t>Original Issue Date: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077E" w:rsidRPr="00CE077E" w:rsidRDefault="00664139" w:rsidP="00CE077E">
                  <w:r>
                    <w:t>Month Day Year</w:t>
                  </w:r>
                </w:p>
              </w:tc>
            </w:tr>
            <w:tr w:rsidR="00197746" w:rsidRPr="00CE077E" w:rsidTr="006A1767">
              <w:tc>
                <w:tcPr>
                  <w:tcW w:w="4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077E" w:rsidRPr="00CE077E" w:rsidRDefault="00197746" w:rsidP="00C4662F">
                  <w:r>
                    <w:rPr>
                      <w:b/>
                      <w:bCs/>
                    </w:rPr>
                    <w:t xml:space="preserve"> </w:t>
                  </w:r>
                  <w:r w:rsidR="005C565D">
                    <w:rPr>
                      <w:b/>
                      <w:bCs/>
                    </w:rPr>
                    <w:t>Title: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EEEEEE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077E" w:rsidRPr="00CE077E" w:rsidRDefault="00CE077E" w:rsidP="00CE077E">
                  <w:r w:rsidRPr="00CE077E">
                    <w:t>Review/Effective Date:</w:t>
                  </w:r>
                </w:p>
              </w:tc>
              <w:tc>
                <w:tcPr>
                  <w:tcW w:w="360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077E" w:rsidRPr="00CE077E" w:rsidRDefault="00664139" w:rsidP="00CE7F4B">
                  <w:r>
                    <w:t>Month Day Year (same as above if new)</w:t>
                  </w:r>
                </w:p>
              </w:tc>
            </w:tr>
            <w:tr w:rsidR="00197746" w:rsidRPr="00CE077E" w:rsidTr="006A1767">
              <w:tc>
                <w:tcPr>
                  <w:tcW w:w="4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077E" w:rsidRPr="00CE077E" w:rsidRDefault="00CE077E" w:rsidP="00664139">
                  <w:r w:rsidRPr="00CE077E">
                    <w:rPr>
                      <w:b/>
                      <w:bCs/>
                    </w:rPr>
                    <w:t>Approved By: VP</w:t>
                  </w:r>
                  <w:r w:rsidR="00664139">
                    <w:rPr>
                      <w:b/>
                      <w:bCs/>
                    </w:rPr>
                    <w:t xml:space="preserve"> People &amp; Chief Quality Executive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EEEEEE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077E" w:rsidRPr="00CE077E" w:rsidRDefault="00664139" w:rsidP="00664139">
                  <w:pPr>
                    <w:ind w:right="-59"/>
                  </w:pPr>
                  <w:r>
                    <w:t xml:space="preserve">Next Review </w:t>
                  </w:r>
                  <w:r w:rsidR="00CE077E" w:rsidRPr="00CE077E">
                    <w:t>Date:</w:t>
                  </w:r>
                  <w:r>
                    <w:t xml:space="preserve">              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077E" w:rsidRPr="00CE077E" w:rsidRDefault="00664139" w:rsidP="00CE7F4B">
                  <w:r>
                    <w:t>Month Day Current Year + 2</w:t>
                  </w:r>
                </w:p>
              </w:tc>
            </w:tr>
          </w:tbl>
          <w:p w:rsidR="00CE077E" w:rsidRPr="00CE077E" w:rsidRDefault="00CE077E" w:rsidP="00CE077E"/>
        </w:tc>
      </w:tr>
      <w:tr w:rsidR="00CE077E" w:rsidRPr="00CE077E" w:rsidTr="00B322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077E" w:rsidRPr="00CE077E" w:rsidRDefault="00CE077E" w:rsidP="00CE077E">
            <w:pPr>
              <w:jc w:val="center"/>
            </w:pPr>
            <w:r w:rsidRPr="00CE077E">
              <w:rPr>
                <w:noProof/>
                <w:lang w:val="en-US"/>
              </w:rPr>
              <w:drawing>
                <wp:inline distT="0" distB="0" distL="0" distR="0" wp14:anchorId="0FBE8E74" wp14:editId="1C6BA999">
                  <wp:extent cx="9525" cy="9525"/>
                  <wp:effectExtent l="0" t="0" r="0" b="0"/>
                  <wp:docPr id="1" name="Picture 1" descr="https://intranet.hpha.ca/myalliance/img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hpha.ca/myalliance/img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7E" w:rsidRPr="00CE077E" w:rsidTr="00B3224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E077E" w:rsidRPr="00CE077E" w:rsidRDefault="00CE077E" w:rsidP="00CE077E">
            <w:pPr>
              <w:jc w:val="center"/>
            </w:pPr>
            <w:r w:rsidRPr="00CE077E">
              <w:t>This is a CONTROLLED document for internal use only.</w:t>
            </w:r>
            <w:r w:rsidRPr="00CE077E">
              <w:br/>
              <w:t>Any documents appearing in paper form are not controlled and should be checked against the document (titled as above) on the file server prior to use.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7522F" w:rsidTr="00DD2818">
        <w:tc>
          <w:tcPr>
            <w:tcW w:w="11016" w:type="dxa"/>
            <w:shd w:val="clear" w:color="auto" w:fill="auto"/>
          </w:tcPr>
          <w:p w:rsidR="00C7522F" w:rsidRDefault="00D36A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Scope</w:t>
            </w:r>
          </w:p>
          <w:p w:rsidR="005E4DF2" w:rsidRPr="005E4DF2" w:rsidRDefault="005E4DF2">
            <w:pPr>
              <w:rPr>
                <w:b/>
                <w:sz w:val="24"/>
                <w:szCs w:val="24"/>
              </w:rPr>
            </w:pPr>
          </w:p>
          <w:p w:rsidR="00C7522F" w:rsidRPr="00FF5E24" w:rsidRDefault="004D402F" w:rsidP="004D40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e.g</w:t>
            </w:r>
            <w:proofErr w:type="gramEnd"/>
            <w:r>
              <w:rPr>
                <w:sz w:val="24"/>
                <w:szCs w:val="24"/>
              </w:rPr>
              <w:t>.</w:t>
            </w:r>
            <w:r w:rsidR="00C4662F">
              <w:rPr>
                <w:sz w:val="24"/>
                <w:szCs w:val="24"/>
              </w:rPr>
              <w:t xml:space="preserve"> </w:t>
            </w:r>
            <w:r w:rsidR="00C7522F" w:rsidRPr="00C7522F">
              <w:rPr>
                <w:sz w:val="24"/>
                <w:szCs w:val="24"/>
              </w:rPr>
              <w:t>This policy applies to all</w:t>
            </w:r>
            <w:r w:rsidR="00C4662F">
              <w:rPr>
                <w:sz w:val="24"/>
                <w:szCs w:val="24"/>
              </w:rPr>
              <w:t>______________</w:t>
            </w:r>
            <w:r w:rsidR="00C7522F" w:rsidRPr="00C7522F">
              <w:rPr>
                <w:sz w:val="24"/>
                <w:szCs w:val="24"/>
              </w:rPr>
              <w:t xml:space="preserve"> who have</w:t>
            </w:r>
            <w:r w:rsidR="00C7522F">
              <w:rPr>
                <w:sz w:val="24"/>
                <w:szCs w:val="24"/>
              </w:rPr>
              <w:t xml:space="preserve"> r</w:t>
            </w:r>
            <w:r w:rsidR="00C7522F" w:rsidRPr="00C7522F">
              <w:rPr>
                <w:sz w:val="24"/>
                <w:szCs w:val="24"/>
              </w:rPr>
              <w:t>eceived appropriate theoretical preparation to care for adult patients</w:t>
            </w:r>
            <w:r w:rsidR="00C7522F">
              <w:rPr>
                <w:sz w:val="24"/>
                <w:szCs w:val="24"/>
              </w:rPr>
              <w:t xml:space="preserve"> </w:t>
            </w:r>
            <w:r w:rsidR="00C7522F" w:rsidRPr="00C7522F">
              <w:rPr>
                <w:sz w:val="24"/>
                <w:szCs w:val="24"/>
              </w:rPr>
              <w:t xml:space="preserve">requiring </w:t>
            </w:r>
            <w:r w:rsidR="00C4662F">
              <w:rPr>
                <w:sz w:val="24"/>
                <w:szCs w:val="24"/>
              </w:rPr>
              <w:t>____________________</w:t>
            </w:r>
            <w:r w:rsidR="00C7522F" w:rsidRPr="00C7522F">
              <w:rPr>
                <w:sz w:val="24"/>
                <w:szCs w:val="24"/>
              </w:rPr>
              <w:t xml:space="preserve">at the </w:t>
            </w:r>
            <w:r w:rsidR="00C7522F">
              <w:rPr>
                <w:sz w:val="24"/>
                <w:szCs w:val="24"/>
              </w:rPr>
              <w:t xml:space="preserve">Huron Perth Healthcare Alliance. (HPHA). </w:t>
            </w:r>
          </w:p>
        </w:tc>
      </w:tr>
      <w:tr w:rsidR="00C7522F" w:rsidTr="00DD2818">
        <w:tc>
          <w:tcPr>
            <w:tcW w:w="11016" w:type="dxa"/>
            <w:shd w:val="clear" w:color="auto" w:fill="auto"/>
          </w:tcPr>
          <w:p w:rsidR="006118B7" w:rsidRDefault="006118B7">
            <w:pPr>
              <w:rPr>
                <w:b/>
                <w:sz w:val="24"/>
                <w:szCs w:val="24"/>
              </w:rPr>
            </w:pPr>
          </w:p>
          <w:p w:rsidR="005E4DF2" w:rsidRPr="005E4DF2" w:rsidRDefault="00C7522F">
            <w:pPr>
              <w:rPr>
                <w:b/>
                <w:sz w:val="24"/>
                <w:szCs w:val="24"/>
              </w:rPr>
            </w:pPr>
            <w:r w:rsidRPr="005E4DF2">
              <w:rPr>
                <w:b/>
                <w:sz w:val="24"/>
                <w:szCs w:val="24"/>
              </w:rPr>
              <w:t xml:space="preserve">Policy </w:t>
            </w:r>
          </w:p>
          <w:p w:rsidR="00C7522F" w:rsidRPr="00FF5E24" w:rsidRDefault="00C7522F" w:rsidP="00C4662F">
            <w:pPr>
              <w:rPr>
                <w:sz w:val="24"/>
                <w:szCs w:val="24"/>
              </w:rPr>
            </w:pPr>
            <w:r w:rsidRPr="00C7522F">
              <w:rPr>
                <w:sz w:val="24"/>
                <w:szCs w:val="24"/>
              </w:rPr>
              <w:t xml:space="preserve">This policy describes </w:t>
            </w:r>
            <w:bookmarkStart w:id="0" w:name="_GoBack"/>
            <w:bookmarkEnd w:id="0"/>
          </w:p>
        </w:tc>
      </w:tr>
      <w:tr w:rsidR="00C7522F" w:rsidTr="00DD2818">
        <w:tc>
          <w:tcPr>
            <w:tcW w:w="11016" w:type="dxa"/>
            <w:shd w:val="clear" w:color="auto" w:fill="auto"/>
          </w:tcPr>
          <w:p w:rsidR="006118B7" w:rsidRDefault="006118B7">
            <w:pPr>
              <w:rPr>
                <w:b/>
                <w:sz w:val="24"/>
                <w:szCs w:val="24"/>
              </w:rPr>
            </w:pPr>
          </w:p>
          <w:p w:rsidR="005E4DF2" w:rsidRDefault="00D36A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Purpose </w:t>
            </w:r>
          </w:p>
          <w:p w:rsidR="00C7522F" w:rsidRPr="00FF5E24" w:rsidRDefault="004D402F" w:rsidP="004D40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e.g</w:t>
            </w:r>
            <w:proofErr w:type="gramEnd"/>
            <w:r>
              <w:rPr>
                <w:sz w:val="24"/>
                <w:szCs w:val="24"/>
              </w:rPr>
              <w:t>.</w:t>
            </w:r>
            <w:r w:rsidR="00C4662F">
              <w:rPr>
                <w:sz w:val="24"/>
                <w:szCs w:val="24"/>
              </w:rPr>
              <w:t xml:space="preserve"> </w:t>
            </w:r>
            <w:r w:rsidR="00C7522F" w:rsidRPr="00C7522F">
              <w:rPr>
                <w:sz w:val="24"/>
                <w:szCs w:val="24"/>
              </w:rPr>
              <w:t>The purpose of this policy is to provide guidelines for the RNs, RPNs and their managers</w:t>
            </w:r>
            <w:r w:rsidR="00C7522F">
              <w:rPr>
                <w:sz w:val="24"/>
                <w:szCs w:val="24"/>
              </w:rPr>
              <w:t xml:space="preserve"> at the HPHA </w:t>
            </w:r>
            <w:r w:rsidR="00C7522F" w:rsidRPr="00C7522F">
              <w:rPr>
                <w:sz w:val="24"/>
                <w:szCs w:val="24"/>
              </w:rPr>
              <w:t>related to the care of patient requiring</w:t>
            </w:r>
            <w:r w:rsidR="00C4662F">
              <w:rPr>
                <w:sz w:val="24"/>
                <w:szCs w:val="24"/>
              </w:rPr>
              <w:t>_________________</w:t>
            </w:r>
            <w:r w:rsidR="00C7522F" w:rsidRPr="00C7522F">
              <w:rPr>
                <w:sz w:val="24"/>
                <w:szCs w:val="24"/>
              </w:rPr>
              <w:t>. It is expected</w:t>
            </w:r>
            <w:r w:rsidR="00C7522F">
              <w:rPr>
                <w:sz w:val="24"/>
                <w:szCs w:val="24"/>
              </w:rPr>
              <w:t xml:space="preserve"> </w:t>
            </w:r>
            <w:r w:rsidR="00C7522F" w:rsidRPr="00C7522F">
              <w:rPr>
                <w:sz w:val="24"/>
                <w:szCs w:val="24"/>
              </w:rPr>
              <w:t>that all staff shall adhere to the principles outlined in this policy</w:t>
            </w:r>
            <w:r w:rsidR="00C7522F">
              <w:rPr>
                <w:sz w:val="24"/>
                <w:szCs w:val="24"/>
              </w:rPr>
              <w:t>.</w:t>
            </w:r>
          </w:p>
        </w:tc>
      </w:tr>
      <w:tr w:rsidR="00C7522F" w:rsidTr="00DD2818">
        <w:tc>
          <w:tcPr>
            <w:tcW w:w="11016" w:type="dxa"/>
            <w:shd w:val="clear" w:color="auto" w:fill="auto"/>
          </w:tcPr>
          <w:p w:rsidR="006118B7" w:rsidRDefault="006118B7" w:rsidP="00C7522F">
            <w:pPr>
              <w:rPr>
                <w:b/>
                <w:sz w:val="24"/>
                <w:szCs w:val="24"/>
              </w:rPr>
            </w:pPr>
          </w:p>
          <w:p w:rsidR="00C7522F" w:rsidRPr="005E4DF2" w:rsidRDefault="005C565D" w:rsidP="00C75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D36AA5">
              <w:rPr>
                <w:b/>
                <w:sz w:val="24"/>
                <w:szCs w:val="24"/>
              </w:rPr>
              <w:t>efinitions</w:t>
            </w:r>
          </w:p>
          <w:p w:rsidR="005E4DF2" w:rsidRPr="00C7522F" w:rsidRDefault="005E4DF2" w:rsidP="00C7522F">
            <w:pPr>
              <w:rPr>
                <w:sz w:val="24"/>
                <w:szCs w:val="24"/>
              </w:rPr>
            </w:pPr>
          </w:p>
          <w:p w:rsidR="00C7522F" w:rsidRPr="00FF5E24" w:rsidRDefault="00C7522F" w:rsidP="003564B6">
            <w:pPr>
              <w:rPr>
                <w:sz w:val="24"/>
                <w:szCs w:val="24"/>
              </w:rPr>
            </w:pPr>
          </w:p>
        </w:tc>
      </w:tr>
      <w:tr w:rsidR="003564B6" w:rsidTr="00DD2818">
        <w:tc>
          <w:tcPr>
            <w:tcW w:w="11016" w:type="dxa"/>
            <w:shd w:val="clear" w:color="auto" w:fill="auto"/>
          </w:tcPr>
          <w:p w:rsidR="003564B6" w:rsidRPr="005E4DF2" w:rsidRDefault="005E4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Indications</w:t>
            </w:r>
          </w:p>
          <w:p w:rsidR="003564B6" w:rsidRDefault="003564B6">
            <w:pPr>
              <w:rPr>
                <w:sz w:val="24"/>
                <w:szCs w:val="24"/>
              </w:rPr>
            </w:pPr>
          </w:p>
          <w:p w:rsidR="003564B6" w:rsidRDefault="0035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Indicated for patients with </w:t>
            </w:r>
            <w:r w:rsidR="00C4662F">
              <w:rPr>
                <w:sz w:val="24"/>
                <w:szCs w:val="24"/>
              </w:rPr>
              <w:t>___________</w:t>
            </w:r>
          </w:p>
          <w:p w:rsidR="003564B6" w:rsidRDefault="003564B6">
            <w:pPr>
              <w:rPr>
                <w:sz w:val="24"/>
                <w:szCs w:val="24"/>
              </w:rPr>
            </w:pPr>
          </w:p>
          <w:p w:rsidR="003564B6" w:rsidRPr="00FF5E24" w:rsidRDefault="003564B6" w:rsidP="00C4662F">
            <w:pPr>
              <w:rPr>
                <w:sz w:val="24"/>
                <w:szCs w:val="24"/>
              </w:rPr>
            </w:pPr>
          </w:p>
        </w:tc>
      </w:tr>
      <w:tr w:rsidR="005E4DF2" w:rsidTr="00DD2818">
        <w:tc>
          <w:tcPr>
            <w:tcW w:w="11016" w:type="dxa"/>
            <w:shd w:val="clear" w:color="auto" w:fill="auto"/>
          </w:tcPr>
          <w:p w:rsidR="005E4DF2" w:rsidRDefault="00D36A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Considerations</w:t>
            </w:r>
          </w:p>
          <w:p w:rsidR="00C4662F" w:rsidRDefault="00C4662F" w:rsidP="005E4DF2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bullet if easier to read</w:t>
            </w:r>
          </w:p>
          <w:p w:rsidR="005E4DF2" w:rsidRPr="005E4DF2" w:rsidRDefault="005E4DF2" w:rsidP="005E4DF2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</w:tr>
      <w:tr w:rsidR="003564B6" w:rsidTr="00DD2818">
        <w:tc>
          <w:tcPr>
            <w:tcW w:w="11016" w:type="dxa"/>
            <w:shd w:val="clear" w:color="auto" w:fill="auto"/>
          </w:tcPr>
          <w:p w:rsidR="003564B6" w:rsidRPr="005E4DF2" w:rsidRDefault="003564B6">
            <w:pPr>
              <w:rPr>
                <w:b/>
                <w:sz w:val="24"/>
                <w:szCs w:val="24"/>
              </w:rPr>
            </w:pPr>
            <w:r w:rsidRPr="005E4DF2">
              <w:rPr>
                <w:b/>
                <w:sz w:val="24"/>
                <w:szCs w:val="24"/>
              </w:rPr>
              <w:t>Competency Requirements</w:t>
            </w:r>
            <w:r w:rsidR="00D36AA5">
              <w:rPr>
                <w:b/>
                <w:sz w:val="24"/>
                <w:szCs w:val="24"/>
              </w:rPr>
              <w:t xml:space="preserve"> </w:t>
            </w:r>
            <w:r w:rsidR="00C4662F">
              <w:rPr>
                <w:b/>
                <w:sz w:val="24"/>
                <w:szCs w:val="24"/>
              </w:rPr>
              <w:t xml:space="preserve"> </w:t>
            </w:r>
          </w:p>
          <w:p w:rsidR="005E4DF2" w:rsidRDefault="005E4DF2">
            <w:pPr>
              <w:rPr>
                <w:sz w:val="24"/>
                <w:szCs w:val="24"/>
              </w:rPr>
            </w:pPr>
          </w:p>
          <w:p w:rsidR="00E57419" w:rsidRDefault="00D36AA5" w:rsidP="00E5741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  <w:proofErr w:type="gramStart"/>
            <w:r w:rsidR="00E57419">
              <w:rPr>
                <w:sz w:val="24"/>
                <w:szCs w:val="24"/>
              </w:rPr>
              <w:t>A</w:t>
            </w:r>
            <w:proofErr w:type="gramEnd"/>
            <w:r w:rsidR="00E57419">
              <w:rPr>
                <w:sz w:val="24"/>
                <w:szCs w:val="24"/>
              </w:rPr>
              <w:t xml:space="preserve"> RN or</w:t>
            </w:r>
            <w:r w:rsidR="003564B6" w:rsidRPr="00E57419">
              <w:rPr>
                <w:sz w:val="24"/>
                <w:szCs w:val="24"/>
              </w:rPr>
              <w:t xml:space="preserve"> RPN </w:t>
            </w:r>
            <w:r w:rsidR="00E57419">
              <w:rPr>
                <w:sz w:val="24"/>
                <w:szCs w:val="24"/>
              </w:rPr>
              <w:t xml:space="preserve">having appropriate theoretical preparation and understanding of the underlying condition for which this treatment is proposed and having demonstrated the appropriate </w:t>
            </w:r>
            <w:r w:rsidR="003564B6" w:rsidRPr="00E57419">
              <w:rPr>
                <w:sz w:val="24"/>
                <w:szCs w:val="24"/>
              </w:rPr>
              <w:t xml:space="preserve">knowledge, skills and </w:t>
            </w:r>
            <w:r w:rsidR="00E57419">
              <w:rPr>
                <w:sz w:val="24"/>
                <w:szCs w:val="24"/>
              </w:rPr>
              <w:t>judgement may perform this treatment on the order of a physician.</w:t>
            </w:r>
          </w:p>
          <w:p w:rsidR="003564B6" w:rsidRPr="00FF5E24" w:rsidRDefault="003564B6" w:rsidP="00C4662F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065DDD" w:rsidRDefault="00065DDD"/>
    <w:p w:rsidR="004D402F" w:rsidRDefault="004D402F"/>
    <w:p w:rsidR="004D402F" w:rsidRDefault="00324C41" w:rsidP="00324C41">
      <w:pPr>
        <w:tabs>
          <w:tab w:val="left" w:pos="3210"/>
        </w:tabs>
      </w:pPr>
      <w:r>
        <w:tab/>
      </w:r>
    </w:p>
    <w:p w:rsidR="006A1767" w:rsidRPr="005E4DF2" w:rsidRDefault="00CE7F4B">
      <w:pPr>
        <w:rPr>
          <w:b/>
        </w:rPr>
      </w:pPr>
      <w:r w:rsidRPr="005E4DF2">
        <w:rPr>
          <w:b/>
        </w:rPr>
        <w:lastRenderedPageBreak/>
        <w:t xml:space="preserve">Procedure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E6D98" w:rsidRPr="00FE6D98" w:rsidTr="006A1767">
        <w:tc>
          <w:tcPr>
            <w:tcW w:w="5508" w:type="dxa"/>
            <w:shd w:val="clear" w:color="auto" w:fill="C6D9F1" w:themeFill="text2" w:themeFillTint="33"/>
          </w:tcPr>
          <w:p w:rsidR="00FE6D98" w:rsidRPr="00FE6D98" w:rsidRDefault="00FE6D98" w:rsidP="00FE6D98">
            <w:pPr>
              <w:spacing w:before="100" w:beforeAutospacing="1" w:after="100" w:afterAutospacing="1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n-CA"/>
              </w:rPr>
              <w:t xml:space="preserve">Procedure </w:t>
            </w:r>
            <w:r w:rsidRPr="00FE6D98">
              <w:rPr>
                <w:rFonts w:eastAsia="Times New Roman" w:cs="Arial"/>
                <w:b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5508" w:type="dxa"/>
            <w:shd w:val="clear" w:color="auto" w:fill="C6D9F1" w:themeFill="text2" w:themeFillTint="33"/>
          </w:tcPr>
          <w:p w:rsidR="00FE6D98" w:rsidRPr="00FE6D98" w:rsidRDefault="00FE6D98" w:rsidP="00FE6D98">
            <w:pPr>
              <w:spacing w:before="100" w:beforeAutospacing="1" w:after="100" w:afterAutospacing="1" w:line="360" w:lineRule="auto"/>
              <w:rPr>
                <w:rFonts w:eastAsia="Times New Roman" w:cs="Arial"/>
                <w:b/>
                <w:bCs/>
                <w:sz w:val="24"/>
                <w:szCs w:val="24"/>
                <w:lang w:eastAsia="en-CA"/>
              </w:rPr>
            </w:pPr>
            <w:r w:rsidRPr="00FE6D98">
              <w:rPr>
                <w:rFonts w:eastAsia="Times New Roman" w:cs="Arial"/>
                <w:b/>
                <w:bCs/>
                <w:sz w:val="24"/>
                <w:szCs w:val="24"/>
                <w:lang w:eastAsia="en-CA"/>
              </w:rPr>
              <w:t>Rationale</w:t>
            </w:r>
          </w:p>
        </w:tc>
      </w:tr>
      <w:tr w:rsidR="00FE6D98" w:rsidRPr="00FE6D98" w:rsidTr="006A1767">
        <w:tc>
          <w:tcPr>
            <w:tcW w:w="5508" w:type="dxa"/>
          </w:tcPr>
          <w:p w:rsidR="00E57419" w:rsidRDefault="00E57419" w:rsidP="00E57419">
            <w:pPr>
              <w:rPr>
                <w:sz w:val="24"/>
                <w:szCs w:val="24"/>
              </w:rPr>
            </w:pPr>
            <w:r w:rsidRPr="00FF5E24">
              <w:rPr>
                <w:sz w:val="24"/>
                <w:szCs w:val="24"/>
              </w:rPr>
              <w:t>Equipment</w:t>
            </w:r>
            <w:r>
              <w:rPr>
                <w:sz w:val="24"/>
                <w:szCs w:val="24"/>
              </w:rPr>
              <w:t>:</w:t>
            </w:r>
          </w:p>
          <w:p w:rsidR="00E57419" w:rsidRDefault="00E57419" w:rsidP="00E57419">
            <w:pPr>
              <w:rPr>
                <w:sz w:val="24"/>
                <w:szCs w:val="24"/>
              </w:rPr>
            </w:pPr>
          </w:p>
          <w:p w:rsidR="00A460A2" w:rsidRPr="004D402F" w:rsidRDefault="00C4662F" w:rsidP="00E5741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equipment required</w:t>
            </w:r>
          </w:p>
          <w:p w:rsidR="006A1767" w:rsidRPr="00FE6D98" w:rsidRDefault="006A1767" w:rsidP="00A460A2">
            <w:pPr>
              <w:rPr>
                <w:rFonts w:eastAsia="Times New Roman" w:cs="Arial"/>
                <w:lang w:eastAsia="en-CA"/>
              </w:rPr>
            </w:pPr>
          </w:p>
        </w:tc>
        <w:tc>
          <w:tcPr>
            <w:tcW w:w="5508" w:type="dxa"/>
          </w:tcPr>
          <w:p w:rsidR="00FE6D98" w:rsidRPr="00FE6D98" w:rsidRDefault="00FE6D98" w:rsidP="00FE6D98">
            <w:pPr>
              <w:spacing w:before="100" w:beforeAutospacing="1" w:after="100" w:afterAutospacing="1"/>
              <w:rPr>
                <w:rFonts w:eastAsia="Times New Roman" w:cs="Arial"/>
                <w:bCs/>
                <w:lang w:eastAsia="en-CA"/>
              </w:rPr>
            </w:pPr>
          </w:p>
        </w:tc>
      </w:tr>
      <w:tr w:rsidR="00A460A2" w:rsidRPr="00FE6D98" w:rsidTr="00D82428">
        <w:tc>
          <w:tcPr>
            <w:tcW w:w="11016" w:type="dxa"/>
            <w:gridSpan w:val="2"/>
            <w:shd w:val="clear" w:color="auto" w:fill="DBE5F1" w:themeFill="accent1" w:themeFillTint="33"/>
          </w:tcPr>
          <w:p w:rsidR="00A460A2" w:rsidRPr="00FE6D98" w:rsidRDefault="00A460A2" w:rsidP="00FE6D98">
            <w:pPr>
              <w:spacing w:before="100" w:beforeAutospacing="1" w:after="100" w:afterAutospacing="1"/>
              <w:rPr>
                <w:rFonts w:eastAsia="Times New Roman" w:cs="Arial"/>
                <w:bCs/>
                <w:lang w:eastAsia="en-CA"/>
              </w:rPr>
            </w:pPr>
            <w:r w:rsidRPr="00A460A2">
              <w:rPr>
                <w:sz w:val="24"/>
                <w:szCs w:val="24"/>
              </w:rPr>
              <w:t>The following steps shall be followed:</w:t>
            </w:r>
          </w:p>
        </w:tc>
      </w:tr>
      <w:tr w:rsidR="00861E33" w:rsidRPr="00FE6D98" w:rsidTr="00C4662F">
        <w:trPr>
          <w:trHeight w:val="784"/>
        </w:trPr>
        <w:tc>
          <w:tcPr>
            <w:tcW w:w="11016" w:type="dxa"/>
            <w:gridSpan w:val="2"/>
          </w:tcPr>
          <w:p w:rsidR="00861E33" w:rsidRPr="00C4662F" w:rsidRDefault="00C4662F" w:rsidP="00C4662F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="Arial"/>
                <w:bCs/>
                <w:lang w:eastAsia="en-CA"/>
              </w:rPr>
            </w:pPr>
            <w:r>
              <w:rPr>
                <w:rFonts w:eastAsia="Times New Roman" w:cs="Arial"/>
                <w:sz w:val="24"/>
                <w:szCs w:val="24"/>
                <w:lang w:eastAsia="en-CA"/>
              </w:rPr>
              <w:t>List steps</w:t>
            </w:r>
          </w:p>
        </w:tc>
      </w:tr>
      <w:tr w:rsidR="00A460A2" w:rsidRPr="00FE6D98" w:rsidTr="00D73A4C">
        <w:tc>
          <w:tcPr>
            <w:tcW w:w="11016" w:type="dxa"/>
            <w:gridSpan w:val="2"/>
            <w:shd w:val="clear" w:color="auto" w:fill="DBE5F1" w:themeFill="accent1" w:themeFillTint="33"/>
          </w:tcPr>
          <w:p w:rsidR="00A460A2" w:rsidRPr="00FE6D98" w:rsidRDefault="00C4662F" w:rsidP="00C4662F">
            <w:pPr>
              <w:spacing w:before="100" w:beforeAutospacing="1" w:after="100" w:afterAutospacing="1"/>
              <w:rPr>
                <w:rFonts w:eastAsia="Times New Roman" w:cs="Arial"/>
                <w:bCs/>
                <w:lang w:eastAsia="en-CA"/>
              </w:rPr>
            </w:pPr>
            <w:r>
              <w:rPr>
                <w:rFonts w:eastAsia="Times New Roman" w:cs="Arial"/>
                <w:sz w:val="24"/>
                <w:szCs w:val="24"/>
                <w:lang w:eastAsia="en-CA"/>
              </w:rPr>
              <w:t>May use headers to separate procedural sections</w:t>
            </w:r>
          </w:p>
        </w:tc>
      </w:tr>
      <w:tr w:rsidR="009B1A14" w:rsidRPr="00FE6D98" w:rsidTr="006A1767">
        <w:tc>
          <w:tcPr>
            <w:tcW w:w="5508" w:type="dxa"/>
          </w:tcPr>
          <w:p w:rsidR="00C4662F" w:rsidRDefault="00C4662F" w:rsidP="00861E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CA"/>
              </w:rPr>
            </w:pPr>
            <w:r>
              <w:rPr>
                <w:rFonts w:eastAsia="Times New Roman" w:cs="Arial"/>
                <w:sz w:val="24"/>
                <w:szCs w:val="24"/>
                <w:lang w:eastAsia="en-CA"/>
              </w:rPr>
              <w:t>List steps if easier to read in this format</w:t>
            </w:r>
          </w:p>
          <w:p w:rsidR="00861E33" w:rsidRPr="00A460A2" w:rsidRDefault="00861E33" w:rsidP="00861E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CA"/>
              </w:rPr>
            </w:pPr>
            <w:r w:rsidRPr="00A460A2">
              <w:rPr>
                <w:rFonts w:eastAsia="Times New Roman" w:cs="Arial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5508" w:type="dxa"/>
          </w:tcPr>
          <w:p w:rsidR="009B1A14" w:rsidRPr="00FE6D98" w:rsidRDefault="009B1A14" w:rsidP="00FE6D98">
            <w:pPr>
              <w:spacing w:before="100" w:beforeAutospacing="1" w:after="100" w:afterAutospacing="1"/>
              <w:rPr>
                <w:rFonts w:eastAsia="Times New Roman" w:cs="Arial"/>
                <w:bCs/>
                <w:lang w:eastAsia="en-CA"/>
              </w:rPr>
            </w:pPr>
          </w:p>
        </w:tc>
      </w:tr>
      <w:tr w:rsidR="00A460A2" w:rsidRPr="00FE6D98" w:rsidTr="00C4662F">
        <w:trPr>
          <w:trHeight w:val="88"/>
        </w:trPr>
        <w:tc>
          <w:tcPr>
            <w:tcW w:w="11016" w:type="dxa"/>
            <w:gridSpan w:val="2"/>
            <w:shd w:val="clear" w:color="auto" w:fill="DBE5F1" w:themeFill="accent1" w:themeFillTint="33"/>
          </w:tcPr>
          <w:p w:rsidR="00A460A2" w:rsidRPr="00FE6D98" w:rsidRDefault="00C4662F" w:rsidP="00C4662F">
            <w:pPr>
              <w:spacing w:before="100" w:beforeAutospacing="1" w:after="100" w:afterAutospacing="1"/>
              <w:rPr>
                <w:rFonts w:eastAsia="Times New Roman" w:cs="Arial"/>
                <w:bCs/>
                <w:lang w:eastAsia="en-CA"/>
              </w:rPr>
            </w:pPr>
            <w:r>
              <w:rPr>
                <w:rFonts w:eastAsia="Times New Roman" w:cs="Arial"/>
                <w:sz w:val="24"/>
                <w:szCs w:val="24"/>
                <w:lang w:eastAsia="en-CA"/>
              </w:rPr>
              <w:t xml:space="preserve">May separate patient </w:t>
            </w:r>
            <w:r w:rsidR="00A460A2" w:rsidRPr="00A460A2">
              <w:rPr>
                <w:rFonts w:eastAsia="Times New Roman" w:cs="Arial"/>
                <w:sz w:val="24"/>
                <w:szCs w:val="24"/>
                <w:lang w:eastAsia="en-CA"/>
              </w:rPr>
              <w:t xml:space="preserve">discharge  teaching </w:t>
            </w:r>
            <w:r>
              <w:rPr>
                <w:rFonts w:eastAsia="Times New Roman" w:cs="Arial"/>
                <w:sz w:val="24"/>
                <w:szCs w:val="24"/>
                <w:lang w:eastAsia="en-CA"/>
              </w:rPr>
              <w:t xml:space="preserve">as its own section </w:t>
            </w:r>
          </w:p>
        </w:tc>
      </w:tr>
      <w:tr w:rsidR="009B1A14" w:rsidRPr="00FE6D98" w:rsidTr="006A1767">
        <w:tc>
          <w:tcPr>
            <w:tcW w:w="5508" w:type="dxa"/>
          </w:tcPr>
          <w:p w:rsidR="00C4662F" w:rsidRDefault="00C4662F" w:rsidP="00861E33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CA"/>
              </w:rPr>
            </w:pPr>
            <w:r>
              <w:rPr>
                <w:rFonts w:eastAsia="Times New Roman" w:cs="Arial"/>
                <w:sz w:val="24"/>
                <w:szCs w:val="24"/>
                <w:lang w:eastAsia="en-CA"/>
              </w:rPr>
              <w:t>List the steps if easier to read in this format</w:t>
            </w:r>
          </w:p>
          <w:p w:rsidR="004F6838" w:rsidRPr="00A460A2" w:rsidRDefault="004F6838" w:rsidP="00C4662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CA"/>
              </w:rPr>
            </w:pPr>
          </w:p>
        </w:tc>
        <w:tc>
          <w:tcPr>
            <w:tcW w:w="5508" w:type="dxa"/>
          </w:tcPr>
          <w:p w:rsidR="009B1A14" w:rsidRPr="00FE6D98" w:rsidRDefault="009B1A14" w:rsidP="00FE6D98">
            <w:pPr>
              <w:spacing w:before="100" w:beforeAutospacing="1" w:after="100" w:afterAutospacing="1"/>
              <w:rPr>
                <w:rFonts w:eastAsia="Times New Roman" w:cs="Arial"/>
                <w:bCs/>
                <w:lang w:eastAsia="en-CA"/>
              </w:rPr>
            </w:pPr>
          </w:p>
        </w:tc>
      </w:tr>
      <w:tr w:rsidR="005E4DF2" w:rsidRPr="00FE6D98" w:rsidTr="006A1767">
        <w:tc>
          <w:tcPr>
            <w:tcW w:w="5508" w:type="dxa"/>
          </w:tcPr>
          <w:p w:rsidR="005E4DF2" w:rsidRDefault="005E4DF2" w:rsidP="006D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HPHA Related Documents</w:t>
            </w:r>
          </w:p>
          <w:p w:rsidR="00A460A2" w:rsidRDefault="004D402F" w:rsidP="006D1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Insert Elsevier links as appropriate</w:t>
            </w:r>
          </w:p>
          <w:p w:rsidR="004F6838" w:rsidRDefault="004F6838" w:rsidP="006D18C6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C56FD8" w:rsidRDefault="00C56FD8" w:rsidP="00C4662F">
            <w:pPr>
              <w:rPr>
                <w:sz w:val="24"/>
                <w:szCs w:val="24"/>
              </w:rPr>
            </w:pPr>
          </w:p>
        </w:tc>
      </w:tr>
      <w:tr w:rsidR="004F6838" w:rsidRPr="00FE6D98" w:rsidTr="00ED2881">
        <w:tc>
          <w:tcPr>
            <w:tcW w:w="11016" w:type="dxa"/>
            <w:gridSpan w:val="2"/>
          </w:tcPr>
          <w:p w:rsidR="004F6838" w:rsidRPr="004F6838" w:rsidRDefault="00D36AA5" w:rsidP="004F68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Pr="004F6838">
              <w:rPr>
                <w:b/>
                <w:bCs/>
                <w:sz w:val="24"/>
                <w:szCs w:val="24"/>
              </w:rPr>
              <w:t>eferences</w:t>
            </w:r>
          </w:p>
          <w:p w:rsidR="004F6838" w:rsidRPr="004F6838" w:rsidRDefault="004F6838" w:rsidP="004F6838">
            <w:pPr>
              <w:rPr>
                <w:sz w:val="24"/>
                <w:szCs w:val="24"/>
              </w:rPr>
            </w:pPr>
          </w:p>
          <w:p w:rsidR="004F6838" w:rsidRDefault="004F6838" w:rsidP="00C4662F">
            <w:pPr>
              <w:rPr>
                <w:sz w:val="24"/>
                <w:szCs w:val="24"/>
              </w:rPr>
            </w:pPr>
          </w:p>
        </w:tc>
      </w:tr>
    </w:tbl>
    <w:p w:rsidR="00FE6D98" w:rsidRDefault="00FE6D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638D4" w:rsidTr="001622C8">
        <w:tc>
          <w:tcPr>
            <w:tcW w:w="11016" w:type="dxa"/>
          </w:tcPr>
          <w:p w:rsidR="00F57D91" w:rsidRPr="00F57D91" w:rsidRDefault="00F57D91" w:rsidP="00F57D91">
            <w:pPr>
              <w:rPr>
                <w:sz w:val="24"/>
                <w:szCs w:val="24"/>
              </w:rPr>
            </w:pPr>
            <w:r w:rsidRPr="00F57D91">
              <w:rPr>
                <w:sz w:val="24"/>
                <w:szCs w:val="24"/>
              </w:rPr>
              <w:t>For internal use ONLY</w:t>
            </w:r>
            <w:r w:rsidR="004D402F">
              <w:rPr>
                <w:sz w:val="24"/>
                <w:szCs w:val="24"/>
              </w:rPr>
              <w:t xml:space="preserve"> - n</w:t>
            </w:r>
            <w:r w:rsidRPr="00F57D91">
              <w:rPr>
                <w:sz w:val="24"/>
                <w:szCs w:val="24"/>
              </w:rPr>
              <w:t>ot to be included in the new/revised policy when uploaded to MyAlliance</w:t>
            </w:r>
          </w:p>
          <w:p w:rsidR="004D402F" w:rsidRDefault="004D402F" w:rsidP="00F57D91">
            <w:pPr>
              <w:rPr>
                <w:b/>
                <w:sz w:val="24"/>
                <w:szCs w:val="24"/>
              </w:rPr>
            </w:pPr>
          </w:p>
          <w:p w:rsidR="00F57D91" w:rsidRPr="00F57D91" w:rsidRDefault="004D402F" w:rsidP="00F57D91">
            <w:pPr>
              <w:rPr>
                <w:sz w:val="24"/>
                <w:szCs w:val="24"/>
              </w:rPr>
            </w:pPr>
            <w:r w:rsidRPr="004D402F">
              <w:rPr>
                <w:b/>
                <w:sz w:val="24"/>
                <w:szCs w:val="24"/>
              </w:rPr>
              <w:t xml:space="preserve">Please remember that all organizational clinical and administrative policies and all departmental policies are to be vetted by </w:t>
            </w:r>
            <w:r w:rsidR="00324C41" w:rsidRPr="00324C41">
              <w:rPr>
                <w:b/>
                <w:sz w:val="24"/>
                <w:szCs w:val="24"/>
              </w:rPr>
              <w:t>VP People &amp; Chief Quality Executive</w:t>
            </w:r>
            <w:r w:rsidR="00324C41" w:rsidRPr="004D402F">
              <w:rPr>
                <w:b/>
                <w:sz w:val="24"/>
                <w:szCs w:val="24"/>
              </w:rPr>
              <w:t xml:space="preserve"> </w:t>
            </w:r>
            <w:r w:rsidRPr="004D402F">
              <w:rPr>
                <w:b/>
                <w:sz w:val="24"/>
                <w:szCs w:val="24"/>
              </w:rPr>
              <w:t>to ensure congruence with organizational policies prior to being published on MyAlliance</w:t>
            </w:r>
            <w:r w:rsidRPr="004D402F">
              <w:rPr>
                <w:sz w:val="24"/>
                <w:szCs w:val="24"/>
              </w:rPr>
              <w:t>.</w:t>
            </w:r>
          </w:p>
          <w:p w:rsidR="004D402F" w:rsidRDefault="004D402F" w:rsidP="00F57D91">
            <w:pPr>
              <w:rPr>
                <w:b/>
                <w:sz w:val="24"/>
                <w:szCs w:val="24"/>
              </w:rPr>
            </w:pPr>
          </w:p>
          <w:p w:rsidR="00F57D91" w:rsidRPr="00F57D91" w:rsidRDefault="00F57D91" w:rsidP="00F57D91">
            <w:pPr>
              <w:rPr>
                <w:sz w:val="24"/>
                <w:szCs w:val="24"/>
              </w:rPr>
            </w:pPr>
            <w:r w:rsidRPr="00F57D91">
              <w:rPr>
                <w:b/>
                <w:sz w:val="24"/>
                <w:szCs w:val="24"/>
              </w:rPr>
              <w:t>Administrative &amp; Clinical Policies:</w:t>
            </w:r>
            <w:r w:rsidRPr="00F57D91">
              <w:rPr>
                <w:sz w:val="24"/>
                <w:szCs w:val="24"/>
              </w:rPr>
              <w:t xml:space="preserve"> The Administrative Assistant supporting VP </w:t>
            </w:r>
            <w:r w:rsidR="004D402F">
              <w:rPr>
                <w:sz w:val="24"/>
                <w:szCs w:val="24"/>
              </w:rPr>
              <w:t xml:space="preserve">People &amp; Chief </w:t>
            </w:r>
            <w:r w:rsidRPr="00F57D91">
              <w:rPr>
                <w:sz w:val="24"/>
                <w:szCs w:val="24"/>
              </w:rPr>
              <w:t xml:space="preserve">Quality </w:t>
            </w:r>
            <w:r w:rsidR="004D402F">
              <w:rPr>
                <w:sz w:val="24"/>
                <w:szCs w:val="24"/>
              </w:rPr>
              <w:t xml:space="preserve">Executive </w:t>
            </w:r>
            <w:r w:rsidRPr="00F57D91">
              <w:rPr>
                <w:sz w:val="24"/>
                <w:szCs w:val="24"/>
              </w:rPr>
              <w:t xml:space="preserve">is responsible for uploading the policy and communicating both the new/revised policy and any associated highlights in an All Users email after receiving these details from the policy owner.  </w:t>
            </w:r>
          </w:p>
          <w:p w:rsidR="00F57D91" w:rsidRPr="00F57D91" w:rsidRDefault="00F57D91" w:rsidP="00F57D91">
            <w:pPr>
              <w:rPr>
                <w:sz w:val="24"/>
                <w:szCs w:val="24"/>
              </w:rPr>
            </w:pPr>
          </w:p>
          <w:p w:rsidR="00F57D91" w:rsidRDefault="00F57D91" w:rsidP="00F57D91">
            <w:pPr>
              <w:rPr>
                <w:sz w:val="24"/>
                <w:szCs w:val="24"/>
              </w:rPr>
            </w:pPr>
            <w:r w:rsidRPr="00F57D91">
              <w:rPr>
                <w:b/>
                <w:sz w:val="24"/>
                <w:szCs w:val="24"/>
              </w:rPr>
              <w:t>Departmental Policies</w:t>
            </w:r>
            <w:r w:rsidRPr="00F57D91">
              <w:rPr>
                <w:sz w:val="24"/>
                <w:szCs w:val="24"/>
              </w:rPr>
              <w:t xml:space="preserve">: The Administrative Assistant supporting the specific department is responsible for communicating and uploading the policy and highlights to department staff after receiving direction from the Manager. </w:t>
            </w:r>
          </w:p>
          <w:p w:rsidR="007638D4" w:rsidRDefault="007638D4" w:rsidP="004D402F"/>
        </w:tc>
      </w:tr>
      <w:tr w:rsidR="00C4662F" w:rsidTr="00810371">
        <w:tc>
          <w:tcPr>
            <w:tcW w:w="11016" w:type="dxa"/>
          </w:tcPr>
          <w:p w:rsidR="00C4662F" w:rsidRPr="007638D4" w:rsidRDefault="00C4662F">
            <w:pPr>
              <w:rPr>
                <w:sz w:val="24"/>
                <w:szCs w:val="24"/>
              </w:rPr>
            </w:pPr>
            <w:r w:rsidRPr="007638D4">
              <w:rPr>
                <w:sz w:val="24"/>
                <w:szCs w:val="24"/>
              </w:rPr>
              <w:t>Policy Highlights to be communicated to staff</w:t>
            </w:r>
          </w:p>
          <w:p w:rsidR="00C4662F" w:rsidRDefault="00C4662F" w:rsidP="00A56CC6">
            <w:pPr>
              <w:pStyle w:val="ListParagraph"/>
              <w:numPr>
                <w:ilvl w:val="0"/>
                <w:numId w:val="4"/>
              </w:numPr>
            </w:pPr>
          </w:p>
          <w:p w:rsidR="00C4662F" w:rsidRDefault="00C4662F" w:rsidP="00A56CC6">
            <w:pPr>
              <w:pStyle w:val="ListParagraph"/>
              <w:numPr>
                <w:ilvl w:val="0"/>
                <w:numId w:val="4"/>
              </w:numPr>
            </w:pPr>
          </w:p>
          <w:p w:rsidR="00C4662F" w:rsidRDefault="00C4662F" w:rsidP="0095417F"/>
        </w:tc>
      </w:tr>
    </w:tbl>
    <w:p w:rsidR="00CE077E" w:rsidRDefault="00CE077E" w:rsidP="004D402F"/>
    <w:sectPr w:rsidR="00CE077E" w:rsidSect="00CE077E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AA" w:rsidRDefault="00F01BAA" w:rsidP="006A1767">
      <w:pPr>
        <w:spacing w:after="0" w:line="240" w:lineRule="auto"/>
      </w:pPr>
      <w:r>
        <w:separator/>
      </w:r>
    </w:p>
  </w:endnote>
  <w:endnote w:type="continuationSeparator" w:id="0">
    <w:p w:rsidR="00F01BAA" w:rsidRDefault="00F01BAA" w:rsidP="006A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2F" w:rsidRPr="00324C41" w:rsidRDefault="00F57D91" w:rsidP="00324C41">
    <w:pPr>
      <w:pStyle w:val="Footer"/>
      <w:jc w:val="center"/>
    </w:pPr>
    <w:r w:rsidRPr="00324C41">
      <w:t xml:space="preserve">Clinical Policy Template </w:t>
    </w:r>
    <w:r w:rsidR="00324C41" w:rsidRPr="00324C41">
      <w:t>Updated June 2020</w:t>
    </w:r>
  </w:p>
  <w:p w:rsidR="006A1767" w:rsidRDefault="00F57D91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AA" w:rsidRDefault="00F01BAA" w:rsidP="006A1767">
      <w:pPr>
        <w:spacing w:after="0" w:line="240" w:lineRule="auto"/>
      </w:pPr>
      <w:r>
        <w:separator/>
      </w:r>
    </w:p>
  </w:footnote>
  <w:footnote w:type="continuationSeparator" w:id="0">
    <w:p w:rsidR="00F01BAA" w:rsidRDefault="00F01BAA" w:rsidP="006A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D15"/>
    <w:multiLevelType w:val="hybridMultilevel"/>
    <w:tmpl w:val="8DFECC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33BB"/>
    <w:multiLevelType w:val="hybridMultilevel"/>
    <w:tmpl w:val="8730A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519B"/>
    <w:multiLevelType w:val="hybridMultilevel"/>
    <w:tmpl w:val="FB20BE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C007E"/>
    <w:multiLevelType w:val="hybridMultilevel"/>
    <w:tmpl w:val="3B9643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D3609"/>
    <w:multiLevelType w:val="hybridMultilevel"/>
    <w:tmpl w:val="09FEB8C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46BD7"/>
    <w:multiLevelType w:val="hybridMultilevel"/>
    <w:tmpl w:val="D166C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56DC"/>
    <w:multiLevelType w:val="hybridMultilevel"/>
    <w:tmpl w:val="FF389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5071D"/>
    <w:multiLevelType w:val="hybridMultilevel"/>
    <w:tmpl w:val="48AE95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859E7"/>
    <w:multiLevelType w:val="hybridMultilevel"/>
    <w:tmpl w:val="6220DA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F69AE"/>
    <w:multiLevelType w:val="hybridMultilevel"/>
    <w:tmpl w:val="142090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41841"/>
    <w:multiLevelType w:val="hybridMultilevel"/>
    <w:tmpl w:val="6D9EA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E6C18"/>
    <w:multiLevelType w:val="hybridMultilevel"/>
    <w:tmpl w:val="D19CCB0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6F4D"/>
    <w:multiLevelType w:val="hybridMultilevel"/>
    <w:tmpl w:val="56046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E3F5C"/>
    <w:multiLevelType w:val="hybridMultilevel"/>
    <w:tmpl w:val="F8DE02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627C7"/>
    <w:multiLevelType w:val="hybridMultilevel"/>
    <w:tmpl w:val="5C708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16F18"/>
    <w:multiLevelType w:val="hybridMultilevel"/>
    <w:tmpl w:val="6B5E5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755CF"/>
    <w:multiLevelType w:val="hybridMultilevel"/>
    <w:tmpl w:val="4ACE35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1738C"/>
    <w:multiLevelType w:val="hybridMultilevel"/>
    <w:tmpl w:val="2CFC2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71160"/>
    <w:multiLevelType w:val="hybridMultilevel"/>
    <w:tmpl w:val="A85A1C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7901F2"/>
    <w:multiLevelType w:val="hybridMultilevel"/>
    <w:tmpl w:val="7F94D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D75D4"/>
    <w:multiLevelType w:val="hybridMultilevel"/>
    <w:tmpl w:val="2452C9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B2C97"/>
    <w:multiLevelType w:val="hybridMultilevel"/>
    <w:tmpl w:val="A5706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17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16"/>
  </w:num>
  <w:num w:numId="12">
    <w:abstractNumId w:val="15"/>
  </w:num>
  <w:num w:numId="13">
    <w:abstractNumId w:val="5"/>
  </w:num>
  <w:num w:numId="14">
    <w:abstractNumId w:val="2"/>
  </w:num>
  <w:num w:numId="15">
    <w:abstractNumId w:val="12"/>
  </w:num>
  <w:num w:numId="16">
    <w:abstractNumId w:val="9"/>
  </w:num>
  <w:num w:numId="17">
    <w:abstractNumId w:val="8"/>
  </w:num>
  <w:num w:numId="18">
    <w:abstractNumId w:val="0"/>
  </w:num>
  <w:num w:numId="19">
    <w:abstractNumId w:val="13"/>
  </w:num>
  <w:num w:numId="20">
    <w:abstractNumId w:val="18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7E"/>
    <w:rsid w:val="00007FDF"/>
    <w:rsid w:val="00065DDD"/>
    <w:rsid w:val="000901B9"/>
    <w:rsid w:val="00197746"/>
    <w:rsid w:val="00270FAC"/>
    <w:rsid w:val="00312079"/>
    <w:rsid w:val="00324C41"/>
    <w:rsid w:val="003564B6"/>
    <w:rsid w:val="003D1660"/>
    <w:rsid w:val="004D402F"/>
    <w:rsid w:val="004F6838"/>
    <w:rsid w:val="0052669C"/>
    <w:rsid w:val="005C565D"/>
    <w:rsid w:val="005E4DF2"/>
    <w:rsid w:val="006118B7"/>
    <w:rsid w:val="00654064"/>
    <w:rsid w:val="00664139"/>
    <w:rsid w:val="006A1767"/>
    <w:rsid w:val="007638D4"/>
    <w:rsid w:val="00792958"/>
    <w:rsid w:val="00861E33"/>
    <w:rsid w:val="0091651F"/>
    <w:rsid w:val="0095417F"/>
    <w:rsid w:val="009B1A14"/>
    <w:rsid w:val="009D5357"/>
    <w:rsid w:val="00A0223B"/>
    <w:rsid w:val="00A2752C"/>
    <w:rsid w:val="00A460A2"/>
    <w:rsid w:val="00A56CC6"/>
    <w:rsid w:val="00A80724"/>
    <w:rsid w:val="00AC44F2"/>
    <w:rsid w:val="00AE4FCB"/>
    <w:rsid w:val="00AF4EDD"/>
    <w:rsid w:val="00B71019"/>
    <w:rsid w:val="00B86214"/>
    <w:rsid w:val="00C4662F"/>
    <w:rsid w:val="00C56FD8"/>
    <w:rsid w:val="00C7522F"/>
    <w:rsid w:val="00CE077E"/>
    <w:rsid w:val="00CE7F4B"/>
    <w:rsid w:val="00D36AA5"/>
    <w:rsid w:val="00D63667"/>
    <w:rsid w:val="00DD2818"/>
    <w:rsid w:val="00E57419"/>
    <w:rsid w:val="00EC4B54"/>
    <w:rsid w:val="00F01BAA"/>
    <w:rsid w:val="00F169D9"/>
    <w:rsid w:val="00F57D91"/>
    <w:rsid w:val="00FE6D98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E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67"/>
  </w:style>
  <w:style w:type="paragraph" w:styleId="Footer">
    <w:name w:val="footer"/>
    <w:basedOn w:val="Normal"/>
    <w:link w:val="FooterChar"/>
    <w:uiPriority w:val="99"/>
    <w:unhideWhenUsed/>
    <w:rsid w:val="006A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67"/>
  </w:style>
  <w:style w:type="paragraph" w:styleId="ListParagraph">
    <w:name w:val="List Paragraph"/>
    <w:basedOn w:val="Normal"/>
    <w:uiPriority w:val="34"/>
    <w:qFormat/>
    <w:rsid w:val="007638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8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0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E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67"/>
  </w:style>
  <w:style w:type="paragraph" w:styleId="Footer">
    <w:name w:val="footer"/>
    <w:basedOn w:val="Normal"/>
    <w:link w:val="FooterChar"/>
    <w:uiPriority w:val="99"/>
    <w:unhideWhenUsed/>
    <w:rsid w:val="006A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67"/>
  </w:style>
  <w:style w:type="paragraph" w:styleId="ListParagraph">
    <w:name w:val="List Paragraph"/>
    <w:basedOn w:val="Normal"/>
    <w:uiPriority w:val="34"/>
    <w:qFormat/>
    <w:rsid w:val="007638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8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0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DEBBIE.TURNER</dc:creator>
  <cp:lastModifiedBy>SELINA.FLEMING</cp:lastModifiedBy>
  <cp:revision>2</cp:revision>
  <dcterms:created xsi:type="dcterms:W3CDTF">2021-02-02T13:19:00Z</dcterms:created>
  <dcterms:modified xsi:type="dcterms:W3CDTF">2021-02-02T13:19:00Z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-6920436</vt:i4>
  </property>
  <property fmtid="{D5CDD505-2E9C-101B-9397-08002B2CF9AE}" pid="3" name="_NewReviewCycle">
    <vt:lpwstr/>
  </property>
  <property fmtid="{D5CDD505-2E9C-101B-9397-08002B2CF9AE}" pid="4" name="_EmailSubject">
    <vt:lpwstr>Clinical Policy Template - revised and Standard Operating Procedure Template</vt:lpwstr>
  </property>
  <property fmtid="{D5CDD505-2E9C-101B-9397-08002B2CF9AE}" pid="5" name="_AuthorEmail">
    <vt:lpwstr>mary.cardinal@hpha.ca</vt:lpwstr>
  </property>
  <property fmtid="{D5CDD505-2E9C-101B-9397-08002B2CF9AE}" pid="6" name="_AuthorEmailDisplayName">
    <vt:lpwstr>Mary Cardinal</vt:lpwstr>
  </property>
  <property fmtid="{D5CDD505-2E9C-101B-9397-08002B2CF9AE}" pid="7" name="_ReviewingToolsShownOnce">
    <vt:lpwstr/>
  </property>
</Properties>
</file>