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F5" w:rsidRPr="00EE41F5" w:rsidRDefault="00EE41F5" w:rsidP="00230791">
      <w:pPr>
        <w:snapToGrid w:val="0"/>
        <w:rPr>
          <w:rFonts w:ascii="Calibri" w:hAnsi="Calibri" w:cs="Calibri"/>
          <w:b/>
          <w:sz w:val="16"/>
          <w:szCs w:val="16"/>
          <w:u w:val="single"/>
        </w:rPr>
      </w:pPr>
      <w:bookmarkStart w:id="0" w:name="_GoBack"/>
      <w:bookmarkEnd w:id="0"/>
    </w:p>
    <w:p w:rsidR="00230791" w:rsidRDefault="00230791" w:rsidP="00230791">
      <w:pPr>
        <w:snapToGrid w:val="0"/>
        <w:rPr>
          <w:rFonts w:ascii="Calibri" w:hAnsi="Calibri" w:cs="Calibri"/>
          <w:sz w:val="22"/>
          <w:szCs w:val="22"/>
        </w:rPr>
      </w:pPr>
      <w:r>
        <w:rPr>
          <w:rFonts w:ascii="Calibri" w:hAnsi="Calibri" w:cs="Calibri"/>
          <w:b/>
          <w:sz w:val="22"/>
          <w:szCs w:val="22"/>
          <w:u w:val="single"/>
        </w:rPr>
        <w:t>STATEMENT OF COMMITMENT AND POLICY</w:t>
      </w:r>
    </w:p>
    <w:p w:rsidR="00CF49DE" w:rsidRDefault="00CF49DE" w:rsidP="00CF49DE">
      <w:pPr>
        <w:snapToGrid w:val="0"/>
        <w:rPr>
          <w:rFonts w:ascii="Calibri" w:hAnsi="Calibri" w:cs="Calibri"/>
          <w:sz w:val="22"/>
          <w:szCs w:val="22"/>
        </w:rPr>
      </w:pPr>
      <w:r>
        <w:rPr>
          <w:rFonts w:ascii="Calibri" w:hAnsi="Calibri" w:cs="Calibri"/>
          <w:sz w:val="22"/>
          <w:szCs w:val="22"/>
        </w:rPr>
        <w:t>Postpartum Hemorrhage (PPH) is defined as bleeding from the genital tract in excess of 500 ml for vaginal births and 1000 ml with Caesarean births.  It is accepted that true blood loss always exceeds the clinical estimate of blood loss.  Any blood loss that has the potential to produce hemodynamic instability should be considered a postpartum hemorrhage.</w:t>
      </w:r>
    </w:p>
    <w:p w:rsidR="00F8151B" w:rsidRDefault="00F8151B" w:rsidP="00CF49DE">
      <w:pPr>
        <w:snapToGrid w:val="0"/>
        <w:rPr>
          <w:rFonts w:ascii="Calibri" w:hAnsi="Calibri" w:cs="Calibri"/>
          <w:sz w:val="22"/>
          <w:szCs w:val="22"/>
        </w:rPr>
      </w:pPr>
    </w:p>
    <w:p w:rsidR="00CF49DE" w:rsidRDefault="00CF49DE" w:rsidP="00CF49DE">
      <w:pPr>
        <w:snapToGrid w:val="0"/>
        <w:rPr>
          <w:rFonts w:ascii="Calibri" w:hAnsi="Calibri" w:cs="Calibri"/>
          <w:sz w:val="22"/>
          <w:szCs w:val="22"/>
        </w:rPr>
      </w:pPr>
      <w:r>
        <w:rPr>
          <w:rFonts w:ascii="Calibri" w:hAnsi="Calibri" w:cs="Calibri"/>
          <w:sz w:val="22"/>
          <w:szCs w:val="22"/>
        </w:rPr>
        <w:t xml:space="preserve">Primary postpartum hemorrhage occurs within the first 24 hours after birth.  This is what we will be dealing with in this policy.  The majority (70%) of primary postpartum hemorrhage is due to uterine atony, which is failure of the uterus to contract following delivery.  Secondary postpartum hemorrhage occurs between 24 hours following the birth of an infant and 6 weeks postpartum.  The causes of secondary postpartum hemorrhage are usually retained products of conception, infection or both.  </w:t>
      </w:r>
    </w:p>
    <w:p w:rsidR="00CF49DE" w:rsidRDefault="00CF49DE" w:rsidP="00CF49DE">
      <w:pPr>
        <w:snapToGrid w:val="0"/>
        <w:rPr>
          <w:rFonts w:ascii="Calibri" w:hAnsi="Calibri" w:cs="Calibri"/>
          <w:sz w:val="22"/>
          <w:szCs w:val="22"/>
        </w:rPr>
      </w:pPr>
    </w:p>
    <w:p w:rsidR="00CF49DE" w:rsidRPr="007414C3" w:rsidRDefault="00CF49DE" w:rsidP="00F8151B">
      <w:pPr>
        <w:snapToGrid w:val="0"/>
        <w:rPr>
          <w:rFonts w:ascii="Calibri" w:hAnsi="Calibri" w:cs="Calibri"/>
          <w:sz w:val="22"/>
          <w:szCs w:val="22"/>
        </w:rPr>
      </w:pPr>
      <w:r>
        <w:rPr>
          <w:rFonts w:ascii="Calibri" w:hAnsi="Calibri" w:cs="Calibri"/>
          <w:sz w:val="22"/>
          <w:szCs w:val="22"/>
        </w:rPr>
        <w:t xml:space="preserve">Postpartum hemorrhage is the leading cause of maternal mortality worldwide.  The purpose of this policy is to develop a unified, team approach to PPH, which allows for rapid recognition, assessment, and treatment of postpartum bleeding. </w:t>
      </w:r>
    </w:p>
    <w:p w:rsidR="00230791" w:rsidRDefault="00230791" w:rsidP="00230791">
      <w:pPr>
        <w:snapToGrid w:val="0"/>
        <w:rPr>
          <w:rFonts w:ascii="Calibri" w:hAnsi="Calibri" w:cs="Calibri"/>
          <w:b/>
          <w:sz w:val="22"/>
          <w:szCs w:val="22"/>
          <w:u w:val="single"/>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ROLES AND RESPONSIBILITIES</w:t>
      </w:r>
    </w:p>
    <w:p w:rsidR="00CF49DE" w:rsidRDefault="00CF49DE" w:rsidP="00230791">
      <w:pPr>
        <w:snapToGrid w:val="0"/>
        <w:rPr>
          <w:rFonts w:ascii="Calibri" w:hAnsi="Calibri" w:cs="Calibri"/>
          <w:sz w:val="22"/>
          <w:szCs w:val="22"/>
        </w:rPr>
      </w:pPr>
      <w:r w:rsidRPr="00CF49DE">
        <w:rPr>
          <w:rFonts w:ascii="Calibri" w:hAnsi="Calibri" w:cs="Calibri"/>
          <w:sz w:val="22"/>
          <w:szCs w:val="22"/>
        </w:rPr>
        <w:t>Physicians</w:t>
      </w:r>
      <w:r>
        <w:rPr>
          <w:rFonts w:ascii="Calibri" w:hAnsi="Calibri" w:cs="Calibri"/>
          <w:sz w:val="22"/>
          <w:szCs w:val="22"/>
        </w:rPr>
        <w:t>,</w:t>
      </w:r>
      <w:r w:rsidR="00B068A3">
        <w:rPr>
          <w:rFonts w:ascii="Calibri" w:hAnsi="Calibri" w:cs="Calibri"/>
          <w:sz w:val="22"/>
          <w:szCs w:val="22"/>
        </w:rPr>
        <w:t xml:space="preserve"> M</w:t>
      </w:r>
      <w:r>
        <w:rPr>
          <w:rFonts w:ascii="Calibri" w:hAnsi="Calibri" w:cs="Calibri"/>
          <w:sz w:val="22"/>
          <w:szCs w:val="22"/>
        </w:rPr>
        <w:t>idwives, OBS R.N’s, Team</w:t>
      </w:r>
      <w:r w:rsidR="00F8151B">
        <w:rPr>
          <w:rFonts w:ascii="Calibri" w:hAnsi="Calibri" w:cs="Calibri"/>
          <w:sz w:val="22"/>
          <w:szCs w:val="22"/>
        </w:rPr>
        <w:t>-</w:t>
      </w:r>
      <w:r>
        <w:rPr>
          <w:rFonts w:ascii="Calibri" w:hAnsi="Calibri" w:cs="Calibri"/>
          <w:sz w:val="22"/>
          <w:szCs w:val="22"/>
        </w:rPr>
        <w:t>leaders</w:t>
      </w:r>
    </w:p>
    <w:p w:rsidR="00CF49DE" w:rsidRPr="00CF49DE" w:rsidRDefault="00CF49DE" w:rsidP="00230791">
      <w:pPr>
        <w:snapToGrid w:val="0"/>
        <w:rPr>
          <w:rFonts w:ascii="Calibri" w:hAnsi="Calibri" w:cs="Calibri"/>
          <w:sz w:val="22"/>
          <w:szCs w:val="22"/>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OVERVIEW</w:t>
      </w:r>
    </w:p>
    <w:p w:rsidR="00CF49DE" w:rsidRDefault="00CF49DE" w:rsidP="00CF49DE">
      <w:pPr>
        <w:snapToGrid w:val="0"/>
        <w:ind w:left="990"/>
        <w:rPr>
          <w:rFonts w:ascii="Calibri" w:hAnsi="Calibri" w:cs="Calibri"/>
          <w:sz w:val="22"/>
          <w:szCs w:val="22"/>
        </w:rPr>
      </w:pPr>
      <w:r w:rsidRPr="007414C3">
        <w:rPr>
          <w:rFonts w:ascii="Calibri" w:hAnsi="Calibri" w:cs="Calibri"/>
          <w:sz w:val="22"/>
          <w:szCs w:val="22"/>
        </w:rPr>
        <w:tab/>
      </w:r>
      <w:r w:rsidRPr="00CF49DE">
        <w:rPr>
          <w:rFonts w:ascii="Calibri" w:hAnsi="Calibri" w:cs="Calibri"/>
          <w:b/>
          <w:sz w:val="22"/>
          <w:szCs w:val="22"/>
        </w:rPr>
        <w:t xml:space="preserve">The common causes of PPH fall into the following categories </w:t>
      </w:r>
      <w:r w:rsidR="00A06ADF" w:rsidRPr="00CF49DE">
        <w:rPr>
          <w:rFonts w:ascii="Calibri" w:hAnsi="Calibri" w:cs="Calibri"/>
          <w:b/>
          <w:sz w:val="22"/>
          <w:szCs w:val="22"/>
        </w:rPr>
        <w:t>call</w:t>
      </w:r>
      <w:r w:rsidR="00A06ADF">
        <w:rPr>
          <w:rFonts w:ascii="Calibri" w:hAnsi="Calibri" w:cs="Calibri"/>
          <w:b/>
          <w:sz w:val="22"/>
          <w:szCs w:val="22"/>
        </w:rPr>
        <w:t xml:space="preserve">ed </w:t>
      </w:r>
      <w:r w:rsidR="00A06ADF" w:rsidRPr="00CF49DE">
        <w:rPr>
          <w:rFonts w:ascii="Calibri" w:hAnsi="Calibri" w:cs="Calibri"/>
          <w:b/>
          <w:sz w:val="22"/>
          <w:szCs w:val="22"/>
        </w:rPr>
        <w:t>the</w:t>
      </w:r>
      <w:r w:rsidRPr="00CF49DE">
        <w:rPr>
          <w:rFonts w:ascii="Calibri" w:hAnsi="Calibri" w:cs="Calibri"/>
          <w:b/>
          <w:sz w:val="22"/>
          <w:szCs w:val="22"/>
        </w:rPr>
        <w:t xml:space="preserve"> “4 T’s”:</w:t>
      </w:r>
    </w:p>
    <w:p w:rsidR="00CF49DE" w:rsidRDefault="00CF49DE" w:rsidP="00CF49DE">
      <w:pPr>
        <w:snapToGrid w:val="0"/>
        <w:ind w:left="720"/>
        <w:rPr>
          <w:rFonts w:ascii="Calibri" w:hAnsi="Calibri" w:cs="Calibri"/>
          <w:sz w:val="22"/>
          <w:szCs w:val="22"/>
        </w:rPr>
      </w:pPr>
      <w:r w:rsidRPr="00F8151B">
        <w:rPr>
          <w:rFonts w:ascii="Calibri" w:hAnsi="Calibri" w:cs="Calibri"/>
          <w:b/>
          <w:sz w:val="22"/>
          <w:szCs w:val="22"/>
        </w:rPr>
        <w:t>TONE</w:t>
      </w:r>
      <w:r>
        <w:rPr>
          <w:rFonts w:ascii="Calibri" w:hAnsi="Calibri" w:cs="Calibri"/>
          <w:sz w:val="22"/>
          <w:szCs w:val="22"/>
        </w:rPr>
        <w:t>:</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Multiparity</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Prolonged labour</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Precipitous labour</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Anything that over distends the uterus: polyhydramnios, multiple gestation, large baby</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Induction or augmentation of labour</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Abruption</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Ruptured uterus</w:t>
      </w:r>
    </w:p>
    <w:p w:rsidR="00CF49DE" w:rsidRDefault="00CF49DE" w:rsidP="00CF49DE">
      <w:pPr>
        <w:pStyle w:val="ListParagraph"/>
        <w:numPr>
          <w:ilvl w:val="0"/>
          <w:numId w:val="8"/>
        </w:numPr>
        <w:snapToGrid w:val="0"/>
        <w:rPr>
          <w:rFonts w:ascii="Calibri" w:hAnsi="Calibri" w:cs="Calibri"/>
          <w:sz w:val="22"/>
          <w:szCs w:val="22"/>
        </w:rPr>
      </w:pPr>
      <w:r>
        <w:rPr>
          <w:rFonts w:ascii="Calibri" w:hAnsi="Calibri" w:cs="Calibri"/>
          <w:sz w:val="22"/>
          <w:szCs w:val="22"/>
        </w:rPr>
        <w:t>General anesthesia</w:t>
      </w:r>
    </w:p>
    <w:p w:rsidR="00CF49DE" w:rsidRPr="00F8151B" w:rsidRDefault="00CF49DE" w:rsidP="00CF49DE">
      <w:pPr>
        <w:pStyle w:val="ListParagraph"/>
        <w:numPr>
          <w:ilvl w:val="0"/>
          <w:numId w:val="8"/>
        </w:numPr>
        <w:snapToGrid w:val="0"/>
        <w:rPr>
          <w:rFonts w:ascii="Calibri" w:hAnsi="Calibri" w:cs="Calibri"/>
          <w:sz w:val="22"/>
          <w:szCs w:val="22"/>
        </w:rPr>
      </w:pPr>
      <w:r w:rsidRPr="00F8151B">
        <w:rPr>
          <w:rFonts w:ascii="Calibri" w:hAnsi="Calibri" w:cs="Calibri"/>
          <w:sz w:val="22"/>
          <w:szCs w:val="22"/>
        </w:rPr>
        <w:t>Full bladder</w:t>
      </w:r>
    </w:p>
    <w:p w:rsidR="00CF49DE" w:rsidRDefault="00CF49DE" w:rsidP="00CF49DE">
      <w:pPr>
        <w:snapToGrid w:val="0"/>
        <w:ind w:left="720"/>
        <w:rPr>
          <w:rFonts w:ascii="Calibri" w:hAnsi="Calibri" w:cs="Calibri"/>
          <w:sz w:val="22"/>
          <w:szCs w:val="22"/>
        </w:rPr>
      </w:pPr>
      <w:r w:rsidRPr="00F8151B">
        <w:rPr>
          <w:rFonts w:ascii="Calibri" w:hAnsi="Calibri" w:cs="Calibri"/>
          <w:b/>
          <w:sz w:val="22"/>
          <w:szCs w:val="22"/>
        </w:rPr>
        <w:t>TRAUMA</w:t>
      </w:r>
      <w:r>
        <w:rPr>
          <w:rFonts w:ascii="Calibri" w:hAnsi="Calibri" w:cs="Calibri"/>
          <w:sz w:val="22"/>
          <w:szCs w:val="22"/>
        </w:rPr>
        <w:t>:</w:t>
      </w:r>
    </w:p>
    <w:p w:rsidR="00CF49DE" w:rsidRDefault="00CF49DE" w:rsidP="00CF49DE">
      <w:pPr>
        <w:pStyle w:val="ListParagraph"/>
        <w:numPr>
          <w:ilvl w:val="0"/>
          <w:numId w:val="9"/>
        </w:numPr>
        <w:snapToGrid w:val="0"/>
        <w:rPr>
          <w:rFonts w:ascii="Calibri" w:hAnsi="Calibri" w:cs="Calibri"/>
          <w:sz w:val="22"/>
          <w:szCs w:val="22"/>
        </w:rPr>
      </w:pPr>
      <w:r>
        <w:rPr>
          <w:rFonts w:ascii="Calibri" w:hAnsi="Calibri" w:cs="Calibri"/>
          <w:sz w:val="22"/>
          <w:szCs w:val="22"/>
        </w:rPr>
        <w:t>Lacerations of the genital tract: cervix, vagina, perineum, uterus</w:t>
      </w:r>
    </w:p>
    <w:p w:rsidR="00CF49DE" w:rsidRDefault="00CF49DE" w:rsidP="00CF49DE">
      <w:pPr>
        <w:pStyle w:val="ListParagraph"/>
        <w:numPr>
          <w:ilvl w:val="0"/>
          <w:numId w:val="9"/>
        </w:numPr>
        <w:snapToGrid w:val="0"/>
        <w:rPr>
          <w:rFonts w:ascii="Calibri" w:hAnsi="Calibri" w:cs="Calibri"/>
          <w:sz w:val="22"/>
          <w:szCs w:val="22"/>
        </w:rPr>
      </w:pPr>
      <w:r>
        <w:rPr>
          <w:rFonts w:ascii="Calibri" w:hAnsi="Calibri" w:cs="Calibri"/>
          <w:sz w:val="22"/>
          <w:szCs w:val="22"/>
        </w:rPr>
        <w:t>Uterine rupture</w:t>
      </w:r>
    </w:p>
    <w:p w:rsidR="00CF49DE" w:rsidRPr="00F8151B" w:rsidRDefault="00CF49DE" w:rsidP="00CF49DE">
      <w:pPr>
        <w:pStyle w:val="ListParagraph"/>
        <w:numPr>
          <w:ilvl w:val="0"/>
          <w:numId w:val="9"/>
        </w:numPr>
        <w:snapToGrid w:val="0"/>
        <w:rPr>
          <w:rFonts w:ascii="Calibri" w:hAnsi="Calibri" w:cs="Calibri"/>
          <w:sz w:val="22"/>
          <w:szCs w:val="22"/>
        </w:rPr>
      </w:pPr>
      <w:r w:rsidRPr="00F8151B">
        <w:rPr>
          <w:rFonts w:ascii="Calibri" w:hAnsi="Calibri" w:cs="Calibri"/>
          <w:sz w:val="22"/>
          <w:szCs w:val="22"/>
        </w:rPr>
        <w:t>Uterine inversion</w:t>
      </w:r>
    </w:p>
    <w:p w:rsidR="00CF49DE" w:rsidRDefault="00CF49DE" w:rsidP="00CF49DE">
      <w:pPr>
        <w:snapToGrid w:val="0"/>
        <w:ind w:left="720"/>
        <w:rPr>
          <w:rFonts w:ascii="Calibri" w:hAnsi="Calibri" w:cs="Calibri"/>
          <w:sz w:val="22"/>
          <w:szCs w:val="22"/>
        </w:rPr>
      </w:pPr>
      <w:r w:rsidRPr="00F8151B">
        <w:rPr>
          <w:rFonts w:ascii="Calibri" w:hAnsi="Calibri" w:cs="Calibri"/>
          <w:b/>
          <w:sz w:val="22"/>
          <w:szCs w:val="22"/>
        </w:rPr>
        <w:t>TISSUE</w:t>
      </w:r>
      <w:r>
        <w:rPr>
          <w:rFonts w:ascii="Calibri" w:hAnsi="Calibri" w:cs="Calibri"/>
          <w:sz w:val="22"/>
          <w:szCs w:val="22"/>
        </w:rPr>
        <w:t>:</w:t>
      </w:r>
    </w:p>
    <w:p w:rsidR="003E0EE9" w:rsidRDefault="003E0EE9" w:rsidP="003E0EE9">
      <w:pPr>
        <w:pStyle w:val="ListParagraph"/>
        <w:numPr>
          <w:ilvl w:val="0"/>
          <w:numId w:val="26"/>
        </w:numPr>
        <w:snapToGrid w:val="0"/>
        <w:rPr>
          <w:rFonts w:ascii="Calibri" w:hAnsi="Calibri" w:cs="Calibri"/>
          <w:sz w:val="22"/>
          <w:szCs w:val="22"/>
        </w:rPr>
      </w:pPr>
      <w:r>
        <w:rPr>
          <w:rFonts w:ascii="Calibri" w:hAnsi="Calibri" w:cs="Calibri"/>
          <w:sz w:val="22"/>
          <w:szCs w:val="22"/>
        </w:rPr>
        <w:t>Retained placenta</w:t>
      </w:r>
    </w:p>
    <w:p w:rsidR="003E0EE9" w:rsidRPr="003E0EE9" w:rsidRDefault="003E0EE9" w:rsidP="003E0EE9">
      <w:pPr>
        <w:pStyle w:val="ListParagraph"/>
        <w:numPr>
          <w:ilvl w:val="0"/>
          <w:numId w:val="26"/>
        </w:numPr>
        <w:snapToGrid w:val="0"/>
        <w:rPr>
          <w:rFonts w:ascii="Calibri" w:hAnsi="Calibri" w:cs="Calibri"/>
          <w:sz w:val="22"/>
          <w:szCs w:val="22"/>
        </w:rPr>
      </w:pPr>
      <w:r>
        <w:rPr>
          <w:rFonts w:ascii="Calibri" w:hAnsi="Calibri" w:cs="Calibri"/>
          <w:sz w:val="22"/>
          <w:szCs w:val="22"/>
        </w:rPr>
        <w:t>Retained blood clots</w:t>
      </w:r>
    </w:p>
    <w:p w:rsidR="003E0EE9" w:rsidRDefault="003E0EE9" w:rsidP="00F8151B">
      <w:pPr>
        <w:snapToGrid w:val="0"/>
        <w:ind w:left="720"/>
        <w:rPr>
          <w:rFonts w:ascii="Calibri" w:hAnsi="Calibri" w:cs="Calibri"/>
          <w:b/>
          <w:sz w:val="22"/>
          <w:szCs w:val="22"/>
        </w:rPr>
      </w:pPr>
    </w:p>
    <w:p w:rsidR="00F8151B" w:rsidRDefault="00F8151B" w:rsidP="00F8151B">
      <w:pPr>
        <w:snapToGrid w:val="0"/>
        <w:ind w:left="720"/>
        <w:rPr>
          <w:rFonts w:ascii="Calibri" w:hAnsi="Calibri" w:cs="Calibri"/>
          <w:sz w:val="22"/>
          <w:szCs w:val="22"/>
        </w:rPr>
      </w:pPr>
      <w:r w:rsidRPr="00F8151B">
        <w:rPr>
          <w:rFonts w:ascii="Calibri" w:hAnsi="Calibri" w:cs="Calibri"/>
          <w:b/>
          <w:sz w:val="22"/>
          <w:szCs w:val="22"/>
        </w:rPr>
        <w:t>THROMBIN</w:t>
      </w:r>
      <w:r>
        <w:rPr>
          <w:rFonts w:ascii="Calibri" w:hAnsi="Calibri" w:cs="Calibri"/>
          <w:sz w:val="22"/>
          <w:szCs w:val="22"/>
        </w:rPr>
        <w:t>:</w:t>
      </w:r>
    </w:p>
    <w:p w:rsidR="00F8151B" w:rsidRDefault="00F8151B" w:rsidP="00F8151B">
      <w:pPr>
        <w:pStyle w:val="ListParagraph"/>
        <w:numPr>
          <w:ilvl w:val="0"/>
          <w:numId w:val="11"/>
        </w:numPr>
        <w:snapToGrid w:val="0"/>
        <w:rPr>
          <w:rFonts w:ascii="Calibri" w:hAnsi="Calibri" w:cs="Calibri"/>
          <w:sz w:val="22"/>
          <w:szCs w:val="22"/>
        </w:rPr>
      </w:pPr>
      <w:r>
        <w:rPr>
          <w:rFonts w:ascii="Calibri" w:hAnsi="Calibri" w:cs="Calibri"/>
          <w:sz w:val="22"/>
          <w:szCs w:val="22"/>
        </w:rPr>
        <w:t>Coagulopathy (preexisting or acquired in pregnancy)</w:t>
      </w:r>
    </w:p>
    <w:p w:rsidR="00F8151B" w:rsidRPr="00365865" w:rsidRDefault="00F8151B" w:rsidP="00F8151B">
      <w:pPr>
        <w:pStyle w:val="ListParagraph"/>
        <w:numPr>
          <w:ilvl w:val="0"/>
          <w:numId w:val="11"/>
        </w:numPr>
        <w:snapToGrid w:val="0"/>
        <w:rPr>
          <w:rFonts w:ascii="Calibri" w:hAnsi="Calibri" w:cs="Calibri"/>
          <w:sz w:val="22"/>
          <w:szCs w:val="22"/>
        </w:rPr>
      </w:pPr>
      <w:r w:rsidRPr="00365865">
        <w:rPr>
          <w:rFonts w:ascii="Calibri" w:hAnsi="Calibri" w:cs="Calibri"/>
          <w:sz w:val="22"/>
          <w:szCs w:val="22"/>
        </w:rPr>
        <w:t>Therapeutic anticoagulation</w:t>
      </w:r>
    </w:p>
    <w:p w:rsidR="00AB302E" w:rsidRDefault="00AB302E" w:rsidP="00F8151B">
      <w:pPr>
        <w:snapToGrid w:val="0"/>
        <w:rPr>
          <w:rFonts w:ascii="Calibri" w:hAnsi="Calibri" w:cs="Calibri"/>
          <w:sz w:val="22"/>
          <w:szCs w:val="22"/>
        </w:rPr>
      </w:pPr>
    </w:p>
    <w:p w:rsidR="00F8151B" w:rsidRPr="00311843" w:rsidRDefault="00F8151B" w:rsidP="00F8151B">
      <w:pPr>
        <w:snapToGrid w:val="0"/>
        <w:rPr>
          <w:rFonts w:ascii="Calibri" w:hAnsi="Calibri" w:cs="Calibri"/>
          <w:sz w:val="22"/>
          <w:szCs w:val="22"/>
        </w:rPr>
      </w:pPr>
      <w:r w:rsidRPr="00AB302E">
        <w:rPr>
          <w:rFonts w:ascii="Calibri" w:hAnsi="Calibri" w:cs="Calibri"/>
          <w:b/>
          <w:sz w:val="22"/>
          <w:szCs w:val="22"/>
        </w:rPr>
        <w:t>Note</w:t>
      </w:r>
      <w:r>
        <w:rPr>
          <w:rFonts w:ascii="Calibri" w:hAnsi="Calibri" w:cs="Calibri"/>
          <w:sz w:val="22"/>
          <w:szCs w:val="22"/>
        </w:rPr>
        <w:t xml:space="preserve">: a previous history of </w:t>
      </w:r>
      <w:r w:rsidRPr="00AB302E">
        <w:rPr>
          <w:rFonts w:ascii="Calibri" w:hAnsi="Calibri" w:cs="Calibri"/>
          <w:b/>
          <w:sz w:val="22"/>
          <w:szCs w:val="22"/>
        </w:rPr>
        <w:t>PPH</w:t>
      </w:r>
      <w:r>
        <w:rPr>
          <w:rFonts w:ascii="Calibri" w:hAnsi="Calibri" w:cs="Calibri"/>
          <w:sz w:val="22"/>
          <w:szCs w:val="22"/>
        </w:rPr>
        <w:t xml:space="preserve"> is a significant risk factor. If risk factors are present, anticipate and prepare for PPH.</w:t>
      </w:r>
    </w:p>
    <w:p w:rsidR="00AB302E" w:rsidRPr="00AB302E" w:rsidRDefault="00AB302E" w:rsidP="00AB302E">
      <w:pPr>
        <w:snapToGrid w:val="0"/>
        <w:ind w:left="990"/>
        <w:rPr>
          <w:rFonts w:ascii="Calibri" w:hAnsi="Calibri" w:cs="Calibri"/>
          <w:b/>
          <w:sz w:val="22"/>
          <w:szCs w:val="22"/>
        </w:rPr>
      </w:pPr>
      <w:r>
        <w:rPr>
          <w:rFonts w:ascii="Calibri" w:hAnsi="Calibri" w:cs="Calibri"/>
          <w:sz w:val="22"/>
          <w:szCs w:val="22"/>
        </w:rPr>
        <w:lastRenderedPageBreak/>
        <w:tab/>
      </w:r>
      <w:r w:rsidR="00A6375B">
        <w:rPr>
          <w:rFonts w:ascii="Calibri" w:hAnsi="Calibri" w:cs="Calibri"/>
          <w:sz w:val="22"/>
          <w:szCs w:val="22"/>
        </w:rPr>
        <w:tab/>
      </w:r>
      <w:r w:rsidRPr="00AB302E">
        <w:rPr>
          <w:rFonts w:ascii="Calibri" w:hAnsi="Calibri" w:cs="Calibri"/>
          <w:b/>
          <w:sz w:val="22"/>
          <w:szCs w:val="22"/>
        </w:rPr>
        <w:t>Prevention:  Active management of the third stage</w:t>
      </w:r>
    </w:p>
    <w:p w:rsidR="00AB302E" w:rsidRDefault="00AB302E" w:rsidP="00AB302E">
      <w:pPr>
        <w:snapToGrid w:val="0"/>
        <w:rPr>
          <w:rFonts w:ascii="Calibri" w:hAnsi="Calibri" w:cs="Calibri"/>
          <w:sz w:val="22"/>
          <w:szCs w:val="22"/>
        </w:rPr>
      </w:pPr>
    </w:p>
    <w:p w:rsidR="00AB302E" w:rsidRDefault="00AB302E" w:rsidP="00AB302E">
      <w:pPr>
        <w:snapToGrid w:val="0"/>
        <w:rPr>
          <w:rFonts w:ascii="Calibri" w:hAnsi="Calibri" w:cs="Calibri"/>
          <w:i/>
          <w:sz w:val="22"/>
          <w:szCs w:val="22"/>
        </w:rPr>
      </w:pPr>
      <w:r>
        <w:rPr>
          <w:rFonts w:ascii="Calibri" w:hAnsi="Calibri" w:cs="Calibri"/>
          <w:i/>
          <w:sz w:val="22"/>
          <w:szCs w:val="22"/>
        </w:rPr>
        <w:t xml:space="preserve">(For women with risk factors, consideration should be given to extra precautions, such as IV access, coagulation studies, cross matching blood and anesthesia backup prior to delivery.  This should be discussed </w:t>
      </w:r>
      <w:r w:rsidR="00EE6B87">
        <w:rPr>
          <w:rFonts w:ascii="Calibri" w:hAnsi="Calibri" w:cs="Calibri"/>
          <w:i/>
          <w:sz w:val="22"/>
          <w:szCs w:val="22"/>
        </w:rPr>
        <w:t xml:space="preserve">in the antenatal period </w:t>
      </w:r>
      <w:r>
        <w:rPr>
          <w:rFonts w:ascii="Calibri" w:hAnsi="Calibri" w:cs="Calibri"/>
          <w:i/>
          <w:sz w:val="22"/>
          <w:szCs w:val="22"/>
        </w:rPr>
        <w:t>with the patient)</w:t>
      </w:r>
    </w:p>
    <w:p w:rsidR="00AB302E" w:rsidRDefault="00AB302E" w:rsidP="00AB302E">
      <w:pPr>
        <w:snapToGrid w:val="0"/>
        <w:rPr>
          <w:rFonts w:ascii="Calibri" w:hAnsi="Calibri" w:cs="Calibri"/>
          <w:i/>
          <w:sz w:val="22"/>
          <w:szCs w:val="22"/>
        </w:rPr>
      </w:pPr>
    </w:p>
    <w:p w:rsidR="00AB302E" w:rsidRDefault="00AB302E" w:rsidP="00AB302E">
      <w:pPr>
        <w:pStyle w:val="ListParagraph"/>
        <w:numPr>
          <w:ilvl w:val="0"/>
          <w:numId w:val="12"/>
        </w:numPr>
        <w:snapToGrid w:val="0"/>
        <w:rPr>
          <w:rFonts w:ascii="Calibri" w:hAnsi="Calibri" w:cs="Calibri"/>
          <w:sz w:val="22"/>
          <w:szCs w:val="22"/>
        </w:rPr>
      </w:pPr>
      <w:r w:rsidRPr="00566830">
        <w:rPr>
          <w:rFonts w:ascii="Calibri" w:hAnsi="Calibri" w:cs="Calibri"/>
          <w:sz w:val="22"/>
          <w:szCs w:val="22"/>
        </w:rPr>
        <w:t>All women should be administered Oxytocin 10 units IM or 5 units IV push following delivery of the anterior shoulder.</w:t>
      </w:r>
      <w:r>
        <w:rPr>
          <w:rFonts w:ascii="Calibri" w:hAnsi="Calibri" w:cs="Calibri"/>
          <w:sz w:val="22"/>
          <w:szCs w:val="22"/>
        </w:rPr>
        <w:t xml:space="preserve">  If a woman declines oxytocin there should be a detailed and documented discussion of the benefits and risks on her chart.</w:t>
      </w:r>
    </w:p>
    <w:p w:rsidR="00AB302E" w:rsidRDefault="00AB302E" w:rsidP="00AB302E">
      <w:pPr>
        <w:pStyle w:val="ListParagraph"/>
        <w:numPr>
          <w:ilvl w:val="0"/>
          <w:numId w:val="12"/>
        </w:numPr>
        <w:snapToGrid w:val="0"/>
        <w:rPr>
          <w:rFonts w:ascii="Calibri" w:hAnsi="Calibri" w:cs="Calibri"/>
          <w:sz w:val="22"/>
          <w:szCs w:val="22"/>
        </w:rPr>
      </w:pPr>
      <w:r>
        <w:rPr>
          <w:rFonts w:ascii="Calibri" w:hAnsi="Calibri" w:cs="Calibri"/>
          <w:sz w:val="22"/>
          <w:szCs w:val="22"/>
        </w:rPr>
        <w:t>Palpate the uterine fundus to ensure the uterus is well contracted</w:t>
      </w:r>
    </w:p>
    <w:p w:rsidR="00AB302E" w:rsidRDefault="00AB302E" w:rsidP="00AB302E">
      <w:pPr>
        <w:pStyle w:val="ListParagraph"/>
        <w:numPr>
          <w:ilvl w:val="0"/>
          <w:numId w:val="12"/>
        </w:numPr>
        <w:snapToGrid w:val="0"/>
        <w:rPr>
          <w:rFonts w:ascii="Calibri" w:hAnsi="Calibri" w:cs="Calibri"/>
          <w:sz w:val="22"/>
          <w:szCs w:val="22"/>
        </w:rPr>
      </w:pPr>
      <w:r>
        <w:rPr>
          <w:rFonts w:ascii="Calibri" w:hAnsi="Calibri" w:cs="Calibri"/>
          <w:sz w:val="22"/>
          <w:szCs w:val="22"/>
        </w:rPr>
        <w:t xml:space="preserve">Wait for signs of placental separation (vaginal bleeding or laxity of the umbilical cord).  Maintain tension on the cord by pulling gently while at the same time applying suprapubic counter-traction on the uterus with the other hand.  </w:t>
      </w:r>
    </w:p>
    <w:p w:rsidR="00AB302E" w:rsidRDefault="00AB302E" w:rsidP="00AB302E">
      <w:pPr>
        <w:pStyle w:val="ListParagraph"/>
        <w:numPr>
          <w:ilvl w:val="0"/>
          <w:numId w:val="12"/>
        </w:numPr>
        <w:snapToGrid w:val="0"/>
        <w:rPr>
          <w:rFonts w:ascii="Calibri" w:hAnsi="Calibri" w:cs="Calibri"/>
          <w:sz w:val="22"/>
          <w:szCs w:val="22"/>
        </w:rPr>
      </w:pPr>
      <w:r>
        <w:rPr>
          <w:rFonts w:ascii="Calibri" w:hAnsi="Calibri" w:cs="Calibri"/>
          <w:sz w:val="22"/>
          <w:szCs w:val="22"/>
        </w:rPr>
        <w:t xml:space="preserve">If the placenta is still retained after 15 </w:t>
      </w:r>
      <w:r w:rsidR="00EE6B87">
        <w:rPr>
          <w:rFonts w:ascii="Calibri" w:hAnsi="Calibri" w:cs="Calibri"/>
          <w:sz w:val="22"/>
          <w:szCs w:val="22"/>
        </w:rPr>
        <w:t>minutes</w:t>
      </w:r>
      <w:r>
        <w:rPr>
          <w:rFonts w:ascii="Calibri" w:hAnsi="Calibri" w:cs="Calibri"/>
          <w:sz w:val="22"/>
          <w:szCs w:val="22"/>
        </w:rPr>
        <w:t xml:space="preserve"> and there is no significant bleeding, start an oxytocin infusion of 20 units</w:t>
      </w:r>
      <w:r w:rsidR="001E1388">
        <w:rPr>
          <w:rFonts w:ascii="Calibri" w:hAnsi="Calibri" w:cs="Calibri"/>
          <w:sz w:val="22"/>
          <w:szCs w:val="22"/>
        </w:rPr>
        <w:t xml:space="preserve"> in 1 L of</w:t>
      </w:r>
      <w:r w:rsidR="00EE6B87">
        <w:rPr>
          <w:rFonts w:ascii="Calibri" w:hAnsi="Calibri" w:cs="Calibri"/>
          <w:sz w:val="22"/>
          <w:szCs w:val="22"/>
        </w:rPr>
        <w:t xml:space="preserve"> </w:t>
      </w:r>
      <w:r>
        <w:rPr>
          <w:rFonts w:ascii="Calibri" w:hAnsi="Calibri" w:cs="Calibri"/>
          <w:sz w:val="22"/>
          <w:szCs w:val="22"/>
        </w:rPr>
        <w:t>NS at 100-150 cc/hr.</w:t>
      </w:r>
    </w:p>
    <w:p w:rsidR="00AB302E" w:rsidRDefault="00AB302E" w:rsidP="00AB302E">
      <w:pPr>
        <w:pStyle w:val="ListParagraph"/>
        <w:numPr>
          <w:ilvl w:val="0"/>
          <w:numId w:val="12"/>
        </w:numPr>
        <w:snapToGrid w:val="0"/>
        <w:rPr>
          <w:rFonts w:ascii="Calibri" w:hAnsi="Calibri" w:cs="Calibri"/>
          <w:sz w:val="22"/>
          <w:szCs w:val="22"/>
        </w:rPr>
      </w:pPr>
      <w:r>
        <w:rPr>
          <w:rFonts w:ascii="Calibri" w:hAnsi="Calibri" w:cs="Calibri"/>
          <w:sz w:val="22"/>
          <w:szCs w:val="22"/>
        </w:rPr>
        <w:t xml:space="preserve">If the placenta is still retained after 30-45 minutes, and there is no significant bleeding, then consider draining placental cord blood or umbilical vein injection of misoprostol (see Appendix </w:t>
      </w:r>
      <w:r w:rsidR="00EE6B87">
        <w:rPr>
          <w:rFonts w:ascii="Calibri" w:hAnsi="Calibri" w:cs="Calibri"/>
          <w:sz w:val="22"/>
          <w:szCs w:val="22"/>
        </w:rPr>
        <w:t>1</w:t>
      </w:r>
      <w:r>
        <w:rPr>
          <w:rFonts w:ascii="Calibri" w:hAnsi="Calibri" w:cs="Calibri"/>
          <w:sz w:val="22"/>
          <w:szCs w:val="22"/>
        </w:rPr>
        <w:t xml:space="preserve"> for Pipingas Technique).  If this is unsuccessful then manual removal of the placenta under anesthesia should occur. </w:t>
      </w:r>
    </w:p>
    <w:p w:rsidR="00AB302E" w:rsidRDefault="00AB302E" w:rsidP="00AB302E">
      <w:pPr>
        <w:pStyle w:val="ListParagraph"/>
        <w:numPr>
          <w:ilvl w:val="0"/>
          <w:numId w:val="12"/>
        </w:numPr>
        <w:snapToGrid w:val="0"/>
        <w:rPr>
          <w:rFonts w:ascii="Calibri" w:hAnsi="Calibri" w:cs="Calibri"/>
          <w:sz w:val="22"/>
          <w:szCs w:val="22"/>
        </w:rPr>
      </w:pPr>
      <w:r>
        <w:rPr>
          <w:rFonts w:ascii="Calibri" w:hAnsi="Calibri" w:cs="Calibri"/>
          <w:sz w:val="22"/>
          <w:szCs w:val="22"/>
        </w:rPr>
        <w:t xml:space="preserve">If there is any significant bleeding prior to delivery of the placenta, then manual removal of the placenta must take place. </w:t>
      </w:r>
    </w:p>
    <w:p w:rsidR="00AB302E" w:rsidRDefault="00AB302E" w:rsidP="00AB302E">
      <w:pPr>
        <w:pStyle w:val="ListParagraph"/>
        <w:numPr>
          <w:ilvl w:val="0"/>
          <w:numId w:val="12"/>
        </w:numPr>
        <w:snapToGrid w:val="0"/>
        <w:rPr>
          <w:rFonts w:ascii="Calibri" w:hAnsi="Calibri" w:cs="Calibri"/>
          <w:sz w:val="22"/>
          <w:szCs w:val="22"/>
        </w:rPr>
      </w:pPr>
      <w:r>
        <w:rPr>
          <w:rFonts w:ascii="Calibri" w:hAnsi="Calibri" w:cs="Calibri"/>
          <w:sz w:val="22"/>
          <w:szCs w:val="22"/>
        </w:rPr>
        <w:t>After the placenta is delivered, assess the uterine fundus to ensure it is well contracted. Next inspect the placenta for completeness after ensuring there is no ongoing, significant uterine bleeding.  Note the number of cord vessels.</w:t>
      </w:r>
    </w:p>
    <w:p w:rsidR="00230791" w:rsidRPr="00D733E9" w:rsidRDefault="00AB302E" w:rsidP="00CF49DE">
      <w:pPr>
        <w:pStyle w:val="ListParagraph"/>
        <w:numPr>
          <w:ilvl w:val="0"/>
          <w:numId w:val="12"/>
        </w:numPr>
        <w:snapToGrid w:val="0"/>
        <w:rPr>
          <w:rFonts w:ascii="Calibri" w:hAnsi="Calibri" w:cs="Calibri"/>
          <w:i/>
          <w:sz w:val="22"/>
          <w:szCs w:val="22"/>
        </w:rPr>
      </w:pPr>
      <w:r w:rsidRPr="00D733E9">
        <w:rPr>
          <w:rFonts w:ascii="Calibri" w:hAnsi="Calibri" w:cs="Calibri"/>
          <w:sz w:val="22"/>
          <w:szCs w:val="22"/>
        </w:rPr>
        <w:t>Inspect the cervix, vaginal walls, and perineum for lacerations after expulsion of the placenta.</w:t>
      </w:r>
    </w:p>
    <w:p w:rsidR="00230791" w:rsidRPr="00230791" w:rsidRDefault="00230791" w:rsidP="00230791">
      <w:pPr>
        <w:snapToGrid w:val="0"/>
        <w:rPr>
          <w:rFonts w:ascii="Calibri" w:hAnsi="Calibri" w:cs="Calibri"/>
          <w:i/>
          <w:sz w:val="22"/>
          <w:szCs w:val="22"/>
        </w:rPr>
      </w:pPr>
    </w:p>
    <w:p w:rsidR="00230791" w:rsidRDefault="00230791" w:rsidP="00230791">
      <w:pPr>
        <w:snapToGrid w:val="0"/>
        <w:rPr>
          <w:rFonts w:ascii="Calibri" w:hAnsi="Calibri" w:cs="Calibri"/>
          <w:b/>
          <w:sz w:val="22"/>
          <w:szCs w:val="22"/>
          <w:u w:val="single"/>
        </w:rPr>
      </w:pPr>
      <w:r>
        <w:rPr>
          <w:rFonts w:ascii="Calibri" w:hAnsi="Calibri" w:cs="Calibri"/>
          <w:b/>
          <w:sz w:val="22"/>
          <w:szCs w:val="22"/>
          <w:u w:val="single"/>
        </w:rPr>
        <w:t>P</w:t>
      </w:r>
      <w:r w:rsidR="00E76ABD">
        <w:rPr>
          <w:rFonts w:ascii="Calibri" w:hAnsi="Calibri" w:cs="Calibri"/>
          <w:b/>
          <w:sz w:val="22"/>
          <w:szCs w:val="22"/>
          <w:u w:val="single"/>
        </w:rPr>
        <w:t>ROCEDURE</w:t>
      </w:r>
    </w:p>
    <w:p w:rsidR="00AB302E" w:rsidRDefault="00AB302E" w:rsidP="00230791">
      <w:pPr>
        <w:snapToGrid w:val="0"/>
        <w:rPr>
          <w:rFonts w:ascii="Calibri" w:hAnsi="Calibri" w:cs="Calibri"/>
          <w:sz w:val="22"/>
          <w:szCs w:val="22"/>
          <w:u w:val="single"/>
        </w:rPr>
      </w:pPr>
    </w:p>
    <w:p w:rsidR="00D733E9" w:rsidRPr="00B068A3" w:rsidRDefault="00D733E9" w:rsidP="00B068A3">
      <w:pPr>
        <w:pStyle w:val="ListParagraph"/>
        <w:numPr>
          <w:ilvl w:val="0"/>
          <w:numId w:val="21"/>
        </w:numPr>
        <w:snapToGrid w:val="0"/>
        <w:rPr>
          <w:rFonts w:ascii="Calibri" w:hAnsi="Calibri" w:cs="Calibri"/>
          <w:sz w:val="22"/>
          <w:szCs w:val="22"/>
        </w:rPr>
      </w:pPr>
      <w:r w:rsidRPr="00B068A3">
        <w:rPr>
          <w:rFonts w:ascii="Calibri" w:hAnsi="Calibri" w:cs="Calibri"/>
          <w:sz w:val="22"/>
          <w:szCs w:val="22"/>
        </w:rPr>
        <w:t xml:space="preserve">Management of Postpartum Hemorrhage (see Appendix </w:t>
      </w:r>
      <w:r w:rsidR="00EE6B87">
        <w:rPr>
          <w:rFonts w:ascii="Calibri" w:hAnsi="Calibri" w:cs="Calibri"/>
          <w:sz w:val="22"/>
          <w:szCs w:val="22"/>
        </w:rPr>
        <w:t xml:space="preserve">2 </w:t>
      </w:r>
      <w:r w:rsidRPr="00B068A3">
        <w:rPr>
          <w:rFonts w:ascii="Calibri" w:hAnsi="Calibri" w:cs="Calibri"/>
          <w:sz w:val="22"/>
          <w:szCs w:val="22"/>
        </w:rPr>
        <w:t xml:space="preserve"> PPH Decision Tree)</w:t>
      </w:r>
    </w:p>
    <w:p w:rsidR="00D733E9" w:rsidRPr="007414C3" w:rsidRDefault="00D733E9" w:rsidP="00D733E9">
      <w:pPr>
        <w:snapToGrid w:val="0"/>
        <w:rPr>
          <w:rFonts w:ascii="Calibri" w:hAnsi="Calibri" w:cs="Calibri"/>
          <w:sz w:val="22"/>
          <w:szCs w:val="22"/>
        </w:rPr>
      </w:pPr>
    </w:p>
    <w:p w:rsidR="00D733E9" w:rsidRPr="007414C3" w:rsidRDefault="00B068A3" w:rsidP="00B068A3">
      <w:pPr>
        <w:ind w:left="720"/>
        <w:rPr>
          <w:rFonts w:ascii="Calibri" w:hAnsi="Calibri" w:cs="Calibri"/>
          <w:sz w:val="22"/>
          <w:szCs w:val="22"/>
        </w:rPr>
      </w:pPr>
      <w:r>
        <w:rPr>
          <w:rFonts w:ascii="Calibri" w:hAnsi="Calibri" w:cs="Calibri"/>
          <w:sz w:val="22"/>
          <w:szCs w:val="22"/>
        </w:rPr>
        <w:t>1.1</w:t>
      </w:r>
      <w:r w:rsidR="00D733E9">
        <w:rPr>
          <w:rFonts w:ascii="Calibri" w:hAnsi="Calibri" w:cs="Calibri"/>
          <w:sz w:val="22"/>
          <w:szCs w:val="22"/>
        </w:rPr>
        <w:t xml:space="preserve">  </w:t>
      </w:r>
      <w:r w:rsidR="00D733E9">
        <w:rPr>
          <w:rFonts w:ascii="Calibri" w:hAnsi="Calibri" w:cs="Calibri"/>
          <w:sz w:val="22"/>
          <w:szCs w:val="22"/>
        </w:rPr>
        <w:tab/>
        <w:t>Anticipate the patient at risk for PPH.</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sidRPr="007414C3">
        <w:rPr>
          <w:rFonts w:ascii="Calibri" w:hAnsi="Calibri" w:cs="Calibri"/>
          <w:sz w:val="22"/>
          <w:szCs w:val="22"/>
        </w:rPr>
        <w:t>.2</w:t>
      </w:r>
      <w:r w:rsidR="00D733E9">
        <w:rPr>
          <w:rFonts w:ascii="Calibri" w:hAnsi="Calibri" w:cs="Calibri"/>
          <w:sz w:val="22"/>
          <w:szCs w:val="22"/>
        </w:rPr>
        <w:t xml:space="preserve">  </w:t>
      </w:r>
      <w:r w:rsidR="00D733E9">
        <w:rPr>
          <w:rFonts w:ascii="Calibri" w:hAnsi="Calibri" w:cs="Calibri"/>
          <w:sz w:val="22"/>
          <w:szCs w:val="22"/>
        </w:rPr>
        <w:tab/>
        <w:t>Talk to and observe the woman (including a set of vitals) regularly. Assess her uterine fundus and amount of bleeding.  If evidence of a PPH then get help and notify the physician</w:t>
      </w:r>
      <w:r w:rsidR="00C01809">
        <w:rPr>
          <w:rFonts w:ascii="Calibri" w:hAnsi="Calibri" w:cs="Calibri"/>
          <w:sz w:val="22"/>
          <w:szCs w:val="22"/>
        </w:rPr>
        <w:t xml:space="preserve"> or midwife</w:t>
      </w:r>
      <w:r w:rsidR="00D733E9">
        <w:rPr>
          <w:rFonts w:ascii="Calibri" w:hAnsi="Calibri" w:cs="Calibri"/>
          <w:sz w:val="22"/>
          <w:szCs w:val="22"/>
        </w:rPr>
        <w:t xml:space="preserve">.  </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Pr>
          <w:rFonts w:ascii="Calibri" w:hAnsi="Calibri" w:cs="Calibri"/>
          <w:sz w:val="22"/>
          <w:szCs w:val="22"/>
        </w:rPr>
        <w:t>.3</w:t>
      </w:r>
      <w:r w:rsidR="00D733E9">
        <w:rPr>
          <w:rFonts w:ascii="Calibri" w:hAnsi="Calibri" w:cs="Calibri"/>
          <w:sz w:val="22"/>
          <w:szCs w:val="22"/>
        </w:rPr>
        <w:tab/>
        <w:t>Massage the uterus and start a large bore IV (18 gauge).</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Pr>
          <w:rFonts w:ascii="Calibri" w:hAnsi="Calibri" w:cs="Calibri"/>
          <w:sz w:val="22"/>
          <w:szCs w:val="22"/>
        </w:rPr>
        <w:t>.4</w:t>
      </w:r>
      <w:r w:rsidR="00D733E9">
        <w:rPr>
          <w:rFonts w:ascii="Calibri" w:hAnsi="Calibri" w:cs="Calibri"/>
          <w:sz w:val="22"/>
          <w:szCs w:val="22"/>
        </w:rPr>
        <w:tab/>
        <w:t>Give Oxytocin 20-40 units/L of NS IV wide open.  If the uterus feels atonic the nurse may start              this prior to discussion with the</w:t>
      </w:r>
      <w:r w:rsidR="00503417">
        <w:rPr>
          <w:rFonts w:ascii="Calibri" w:hAnsi="Calibri" w:cs="Calibri"/>
          <w:sz w:val="22"/>
          <w:szCs w:val="22"/>
        </w:rPr>
        <w:t xml:space="preserve"> MRP</w:t>
      </w:r>
      <w:r w:rsidR="00D733E9">
        <w:rPr>
          <w:rFonts w:ascii="Calibri" w:hAnsi="Calibri" w:cs="Calibri"/>
          <w:sz w:val="22"/>
          <w:szCs w:val="22"/>
        </w:rPr>
        <w:t>. The only contraindication would be a known</w:t>
      </w:r>
      <w:r w:rsidR="00D733E9" w:rsidRPr="00D733E9">
        <w:rPr>
          <w:rFonts w:ascii="Calibri" w:hAnsi="Calibri" w:cs="Calibri"/>
          <w:sz w:val="22"/>
          <w:szCs w:val="22"/>
        </w:rPr>
        <w:t xml:space="preserve"> </w:t>
      </w:r>
      <w:r w:rsidR="00D733E9">
        <w:rPr>
          <w:rFonts w:ascii="Calibri" w:hAnsi="Calibri" w:cs="Calibri"/>
          <w:sz w:val="22"/>
          <w:szCs w:val="22"/>
        </w:rPr>
        <w:t xml:space="preserve">hypersensitivity to oxytocin.  The </w:t>
      </w:r>
      <w:r w:rsidR="00503417">
        <w:rPr>
          <w:rFonts w:ascii="Calibri" w:hAnsi="Calibri" w:cs="Calibri"/>
          <w:sz w:val="22"/>
          <w:szCs w:val="22"/>
        </w:rPr>
        <w:t>MRP</w:t>
      </w:r>
      <w:r w:rsidR="00D733E9">
        <w:rPr>
          <w:rFonts w:ascii="Calibri" w:hAnsi="Calibri" w:cs="Calibri"/>
          <w:sz w:val="22"/>
          <w:szCs w:val="22"/>
        </w:rPr>
        <w:t xml:space="preserve"> must be informed if this occurs.</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Pr>
          <w:rFonts w:ascii="Calibri" w:hAnsi="Calibri" w:cs="Calibri"/>
          <w:sz w:val="22"/>
          <w:szCs w:val="22"/>
        </w:rPr>
        <w:t>.5</w:t>
      </w:r>
      <w:r w:rsidR="00D733E9">
        <w:rPr>
          <w:rFonts w:ascii="Calibri" w:hAnsi="Calibri" w:cs="Calibri"/>
          <w:sz w:val="22"/>
          <w:szCs w:val="22"/>
        </w:rPr>
        <w:tab/>
        <w:t xml:space="preserve">The </w:t>
      </w:r>
      <w:r w:rsidR="00AF7A1A">
        <w:rPr>
          <w:rFonts w:ascii="Calibri" w:hAnsi="Calibri" w:cs="Calibri"/>
          <w:sz w:val="22"/>
          <w:szCs w:val="22"/>
        </w:rPr>
        <w:t>MRP</w:t>
      </w:r>
      <w:r w:rsidR="00D733E9">
        <w:rPr>
          <w:rFonts w:ascii="Calibri" w:hAnsi="Calibri" w:cs="Calibri"/>
          <w:sz w:val="22"/>
          <w:szCs w:val="22"/>
        </w:rPr>
        <w:t xml:space="preserve"> will assess and empty the uterus of any blood clots and ensure the uterus is not partially inverted. Uterine massage and bimanual compression will be applied if necessary.  Consider giving entonox or fentanyl if bimanual compression is applied.</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Pr>
          <w:rFonts w:ascii="Calibri" w:hAnsi="Calibri" w:cs="Calibri"/>
          <w:sz w:val="22"/>
          <w:szCs w:val="22"/>
        </w:rPr>
        <w:t>.6</w:t>
      </w:r>
      <w:r w:rsidR="00D733E9">
        <w:rPr>
          <w:rFonts w:ascii="Calibri" w:hAnsi="Calibri" w:cs="Calibri"/>
          <w:sz w:val="22"/>
          <w:szCs w:val="22"/>
        </w:rPr>
        <w:tab/>
        <w:t>Empty the bladder and consider a foley catheter if the bleeding has not improved.</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Pr>
          <w:rFonts w:ascii="Calibri" w:hAnsi="Calibri" w:cs="Calibri"/>
          <w:sz w:val="22"/>
          <w:szCs w:val="22"/>
        </w:rPr>
        <w:t>.7</w:t>
      </w:r>
      <w:r w:rsidR="00D733E9">
        <w:rPr>
          <w:rFonts w:ascii="Calibri" w:hAnsi="Calibri" w:cs="Calibri"/>
          <w:sz w:val="22"/>
          <w:szCs w:val="22"/>
        </w:rPr>
        <w:tab/>
        <w:t>Crossmatch 2 units of RBC, CBC, INR/PTT, and fibrinogen (</w:t>
      </w:r>
      <w:r w:rsidR="00503417">
        <w:rPr>
          <w:rFonts w:ascii="Calibri" w:hAnsi="Calibri" w:cs="Calibri"/>
          <w:sz w:val="22"/>
          <w:szCs w:val="22"/>
        </w:rPr>
        <w:t xml:space="preserve">fibrinogen is </w:t>
      </w:r>
      <w:r w:rsidR="00D733E9">
        <w:rPr>
          <w:rFonts w:ascii="Calibri" w:hAnsi="Calibri" w:cs="Calibri"/>
          <w:sz w:val="22"/>
          <w:szCs w:val="22"/>
        </w:rPr>
        <w:t>not available in Walkerton at this time).</w:t>
      </w:r>
    </w:p>
    <w:p w:rsidR="00D733E9" w:rsidRDefault="00B068A3" w:rsidP="00D733E9">
      <w:pPr>
        <w:ind w:left="1440" w:hanging="720"/>
        <w:rPr>
          <w:rFonts w:ascii="Calibri" w:hAnsi="Calibri" w:cs="Calibri"/>
          <w:sz w:val="22"/>
          <w:szCs w:val="22"/>
        </w:rPr>
      </w:pPr>
      <w:r>
        <w:rPr>
          <w:rFonts w:ascii="Calibri" w:hAnsi="Calibri" w:cs="Calibri"/>
          <w:sz w:val="22"/>
          <w:szCs w:val="22"/>
        </w:rPr>
        <w:t>1</w:t>
      </w:r>
      <w:r w:rsidR="00D733E9">
        <w:rPr>
          <w:rFonts w:ascii="Calibri" w:hAnsi="Calibri" w:cs="Calibri"/>
          <w:sz w:val="22"/>
          <w:szCs w:val="22"/>
        </w:rPr>
        <w:t>.8</w:t>
      </w:r>
      <w:r w:rsidR="00D733E9">
        <w:rPr>
          <w:rFonts w:ascii="Calibri" w:hAnsi="Calibri" w:cs="Calibri"/>
          <w:sz w:val="22"/>
          <w:szCs w:val="22"/>
        </w:rPr>
        <w:tab/>
        <w:t>If the bleeding continues and the uterus is still atonic, then consider second line uterotonics:</w:t>
      </w:r>
    </w:p>
    <w:p w:rsidR="00446369" w:rsidRDefault="00446369" w:rsidP="00D733E9">
      <w:pPr>
        <w:ind w:left="1440" w:hanging="720"/>
        <w:rPr>
          <w:rFonts w:ascii="Calibri" w:hAnsi="Calibri" w:cs="Calibri"/>
          <w:sz w:val="22"/>
          <w:szCs w:val="22"/>
        </w:rPr>
      </w:pPr>
    </w:p>
    <w:p w:rsidR="00446369" w:rsidRDefault="00446369" w:rsidP="00D733E9">
      <w:pPr>
        <w:ind w:left="1440" w:hanging="720"/>
        <w:rPr>
          <w:rFonts w:ascii="Calibri" w:hAnsi="Calibri" w:cs="Calibri"/>
          <w:sz w:val="22"/>
          <w:szCs w:val="22"/>
        </w:rPr>
      </w:pPr>
    </w:p>
    <w:p w:rsidR="00AA693C" w:rsidRPr="00503417" w:rsidRDefault="00AA693C" w:rsidP="00AA693C">
      <w:pPr>
        <w:ind w:left="1440" w:firstLine="720"/>
        <w:rPr>
          <w:rFonts w:ascii="Calibri" w:hAnsi="Calibri" w:cs="Calibri"/>
          <w:b/>
          <w:sz w:val="22"/>
          <w:szCs w:val="22"/>
        </w:rPr>
      </w:pPr>
      <w:r w:rsidRPr="00503417">
        <w:rPr>
          <w:rFonts w:ascii="Calibri" w:hAnsi="Calibri" w:cs="Calibri"/>
          <w:b/>
          <w:sz w:val="22"/>
          <w:szCs w:val="22"/>
        </w:rPr>
        <w:t>ERGONOVINE (Ergometrine) 0.25 mg IM/IV</w:t>
      </w:r>
    </w:p>
    <w:p w:rsidR="00AA693C" w:rsidRDefault="00AA693C" w:rsidP="00AA693C">
      <w:pPr>
        <w:pStyle w:val="ListParagraph"/>
        <w:numPr>
          <w:ilvl w:val="0"/>
          <w:numId w:val="14"/>
        </w:numPr>
        <w:rPr>
          <w:rFonts w:ascii="Calibri" w:hAnsi="Calibri" w:cs="Calibri"/>
          <w:sz w:val="22"/>
          <w:szCs w:val="22"/>
        </w:rPr>
      </w:pPr>
      <w:r>
        <w:rPr>
          <w:rFonts w:ascii="Calibri" w:hAnsi="Calibri" w:cs="Calibri"/>
          <w:sz w:val="22"/>
          <w:szCs w:val="22"/>
        </w:rPr>
        <w:t>May be given q 2-4 hours</w:t>
      </w:r>
    </w:p>
    <w:p w:rsidR="00AA693C" w:rsidRDefault="00AA693C" w:rsidP="00AA693C">
      <w:pPr>
        <w:pStyle w:val="ListParagraph"/>
        <w:numPr>
          <w:ilvl w:val="0"/>
          <w:numId w:val="14"/>
        </w:numPr>
        <w:rPr>
          <w:rFonts w:ascii="Calibri" w:hAnsi="Calibri" w:cs="Calibri"/>
          <w:sz w:val="22"/>
          <w:szCs w:val="22"/>
        </w:rPr>
      </w:pPr>
      <w:r>
        <w:rPr>
          <w:rFonts w:ascii="Calibri" w:hAnsi="Calibri" w:cs="Calibri"/>
          <w:sz w:val="22"/>
          <w:szCs w:val="22"/>
        </w:rPr>
        <w:t>May inhibit subsequent exploration of the uterus due to titanic contraction.</w:t>
      </w:r>
    </w:p>
    <w:p w:rsidR="00AA693C" w:rsidRDefault="00AA693C" w:rsidP="00AA693C">
      <w:pPr>
        <w:pStyle w:val="ListParagraph"/>
        <w:numPr>
          <w:ilvl w:val="0"/>
          <w:numId w:val="14"/>
        </w:numPr>
        <w:rPr>
          <w:rFonts w:ascii="Calibri" w:hAnsi="Calibri" w:cs="Calibri"/>
          <w:sz w:val="22"/>
          <w:szCs w:val="22"/>
        </w:rPr>
      </w:pPr>
      <w:r w:rsidRPr="001E1388">
        <w:rPr>
          <w:rFonts w:ascii="Calibri" w:hAnsi="Calibri" w:cs="Calibri"/>
          <w:b/>
          <w:sz w:val="22"/>
          <w:szCs w:val="22"/>
        </w:rPr>
        <w:t>Hypertension</w:t>
      </w:r>
      <w:r>
        <w:rPr>
          <w:rFonts w:ascii="Calibri" w:hAnsi="Calibri" w:cs="Calibri"/>
          <w:sz w:val="22"/>
          <w:szCs w:val="22"/>
        </w:rPr>
        <w:t xml:space="preserve"> is a contraindication to using ergot due to the risk of stroke and/or hypertensive crisis.  </w:t>
      </w:r>
    </w:p>
    <w:p w:rsidR="00AA693C" w:rsidRDefault="00AA693C" w:rsidP="00AA693C">
      <w:pPr>
        <w:pStyle w:val="ListParagraph"/>
        <w:numPr>
          <w:ilvl w:val="0"/>
          <w:numId w:val="14"/>
        </w:numPr>
        <w:rPr>
          <w:rFonts w:ascii="Calibri" w:hAnsi="Calibri" w:cs="Calibri"/>
          <w:sz w:val="22"/>
          <w:szCs w:val="22"/>
        </w:rPr>
      </w:pPr>
      <w:r>
        <w:rPr>
          <w:rFonts w:ascii="Calibri" w:hAnsi="Calibri" w:cs="Calibri"/>
          <w:sz w:val="22"/>
          <w:szCs w:val="22"/>
        </w:rPr>
        <w:t>Contraindicated with concomitant use of certain drugs used to treat HIV (e.g. protease inhibitors, non-nucleoside reverse transcriptase inhibitors)</w:t>
      </w:r>
    </w:p>
    <w:p w:rsidR="00AA693C" w:rsidRDefault="00AA693C" w:rsidP="00AA693C">
      <w:pPr>
        <w:rPr>
          <w:rFonts w:ascii="Calibri" w:hAnsi="Calibri" w:cs="Calibri"/>
          <w:sz w:val="22"/>
          <w:szCs w:val="22"/>
        </w:rPr>
      </w:pPr>
    </w:p>
    <w:p w:rsidR="00AA693C" w:rsidRPr="00503417" w:rsidRDefault="00AA693C" w:rsidP="00AA693C">
      <w:pPr>
        <w:ind w:left="2160"/>
        <w:rPr>
          <w:rFonts w:ascii="Calibri" w:hAnsi="Calibri" w:cs="Calibri"/>
          <w:b/>
          <w:sz w:val="22"/>
          <w:szCs w:val="22"/>
        </w:rPr>
      </w:pPr>
      <w:r w:rsidRPr="00503417">
        <w:rPr>
          <w:rFonts w:ascii="Calibri" w:hAnsi="Calibri" w:cs="Calibri"/>
          <w:b/>
          <w:sz w:val="22"/>
          <w:szCs w:val="22"/>
        </w:rPr>
        <w:t>CARBOPROST TROMETHAMINE (HEMABATE) 0.25 mg IM/IMM</w:t>
      </w:r>
    </w:p>
    <w:p w:rsidR="00AA693C" w:rsidRDefault="00AA693C" w:rsidP="00AA693C">
      <w:pPr>
        <w:pStyle w:val="ListParagraph"/>
        <w:numPr>
          <w:ilvl w:val="0"/>
          <w:numId w:val="15"/>
        </w:numPr>
        <w:rPr>
          <w:rFonts w:ascii="Calibri" w:hAnsi="Calibri" w:cs="Calibri"/>
          <w:sz w:val="22"/>
          <w:szCs w:val="22"/>
        </w:rPr>
      </w:pPr>
      <w:r>
        <w:rPr>
          <w:rFonts w:ascii="Calibri" w:hAnsi="Calibri" w:cs="Calibri"/>
          <w:sz w:val="22"/>
          <w:szCs w:val="22"/>
        </w:rPr>
        <w:t>May be given q 15 minutes</w:t>
      </w:r>
    </w:p>
    <w:p w:rsidR="00AA693C" w:rsidRDefault="00AA693C" w:rsidP="00AA693C">
      <w:pPr>
        <w:pStyle w:val="ListParagraph"/>
        <w:numPr>
          <w:ilvl w:val="0"/>
          <w:numId w:val="15"/>
        </w:numPr>
        <w:rPr>
          <w:rFonts w:ascii="Calibri" w:hAnsi="Calibri" w:cs="Calibri"/>
          <w:sz w:val="22"/>
          <w:szCs w:val="22"/>
        </w:rPr>
      </w:pPr>
      <w:r>
        <w:rPr>
          <w:rFonts w:ascii="Calibri" w:hAnsi="Calibri" w:cs="Calibri"/>
          <w:sz w:val="22"/>
          <w:szCs w:val="22"/>
        </w:rPr>
        <w:t>Maximum of 8 doses (2 mg total cumulative dose)</w:t>
      </w:r>
    </w:p>
    <w:p w:rsidR="00AA693C" w:rsidRDefault="00AA693C" w:rsidP="00AA693C">
      <w:pPr>
        <w:pStyle w:val="ListParagraph"/>
        <w:numPr>
          <w:ilvl w:val="0"/>
          <w:numId w:val="15"/>
        </w:numPr>
        <w:rPr>
          <w:rFonts w:ascii="Calibri" w:hAnsi="Calibri" w:cs="Calibri"/>
          <w:sz w:val="22"/>
          <w:szCs w:val="22"/>
        </w:rPr>
      </w:pPr>
      <w:r>
        <w:rPr>
          <w:rFonts w:ascii="Calibri" w:hAnsi="Calibri" w:cs="Calibri"/>
          <w:sz w:val="22"/>
          <w:szCs w:val="22"/>
        </w:rPr>
        <w:t>May inhibit subsequent exploration of the uterus due to titanic contraction.</w:t>
      </w:r>
    </w:p>
    <w:p w:rsidR="00AA693C" w:rsidRDefault="00AA693C" w:rsidP="00AA693C">
      <w:pPr>
        <w:pStyle w:val="ListParagraph"/>
        <w:numPr>
          <w:ilvl w:val="0"/>
          <w:numId w:val="15"/>
        </w:numPr>
        <w:rPr>
          <w:rFonts w:ascii="Calibri" w:hAnsi="Calibri" w:cs="Calibri"/>
          <w:sz w:val="22"/>
          <w:szCs w:val="22"/>
        </w:rPr>
      </w:pPr>
      <w:r>
        <w:rPr>
          <w:rFonts w:ascii="Calibri" w:hAnsi="Calibri" w:cs="Calibri"/>
          <w:sz w:val="22"/>
          <w:szCs w:val="22"/>
        </w:rPr>
        <w:t>Asthma is a relative contraindication.</w:t>
      </w:r>
    </w:p>
    <w:p w:rsidR="00AA693C" w:rsidRDefault="00AA693C" w:rsidP="00AA693C">
      <w:pPr>
        <w:rPr>
          <w:rFonts w:ascii="Calibri" w:hAnsi="Calibri" w:cs="Calibri"/>
          <w:sz w:val="22"/>
          <w:szCs w:val="22"/>
        </w:rPr>
      </w:pPr>
    </w:p>
    <w:p w:rsidR="00AA693C" w:rsidRPr="00503417" w:rsidRDefault="00AA693C" w:rsidP="00AA693C">
      <w:pPr>
        <w:ind w:left="2160"/>
        <w:rPr>
          <w:rFonts w:ascii="Calibri" w:hAnsi="Calibri" w:cs="Calibri"/>
          <w:b/>
          <w:sz w:val="22"/>
          <w:szCs w:val="22"/>
        </w:rPr>
      </w:pPr>
      <w:r w:rsidRPr="00503417">
        <w:rPr>
          <w:rFonts w:ascii="Calibri" w:hAnsi="Calibri" w:cs="Calibri"/>
          <w:b/>
          <w:sz w:val="22"/>
          <w:szCs w:val="22"/>
        </w:rPr>
        <w:t>MISOPROSTOL (CYTOTEC) 400 mcg SL</w:t>
      </w:r>
    </w:p>
    <w:p w:rsidR="00AA693C" w:rsidRDefault="00503417" w:rsidP="00AA693C">
      <w:pPr>
        <w:pStyle w:val="ListParagraph"/>
        <w:numPr>
          <w:ilvl w:val="0"/>
          <w:numId w:val="16"/>
        </w:numPr>
        <w:rPr>
          <w:rFonts w:ascii="Calibri" w:hAnsi="Calibri" w:cs="Calibri"/>
          <w:sz w:val="22"/>
          <w:szCs w:val="22"/>
        </w:rPr>
      </w:pPr>
      <w:r>
        <w:rPr>
          <w:rFonts w:ascii="Calibri" w:hAnsi="Calibri" w:cs="Calibri"/>
          <w:sz w:val="22"/>
          <w:szCs w:val="22"/>
        </w:rPr>
        <w:t>M</w:t>
      </w:r>
      <w:r w:rsidR="00AA693C">
        <w:rPr>
          <w:rFonts w:ascii="Calibri" w:hAnsi="Calibri" w:cs="Calibri"/>
          <w:sz w:val="22"/>
          <w:szCs w:val="22"/>
        </w:rPr>
        <w:t>ay give 800-1000 mcg PR if unable to give SL.</w:t>
      </w:r>
    </w:p>
    <w:p w:rsidR="00AA693C" w:rsidRDefault="00503417" w:rsidP="00AA693C">
      <w:pPr>
        <w:pStyle w:val="ListParagraph"/>
        <w:numPr>
          <w:ilvl w:val="0"/>
          <w:numId w:val="16"/>
        </w:numPr>
        <w:rPr>
          <w:rFonts w:ascii="Calibri" w:hAnsi="Calibri" w:cs="Calibri"/>
          <w:sz w:val="22"/>
          <w:szCs w:val="22"/>
        </w:rPr>
      </w:pPr>
      <w:r>
        <w:rPr>
          <w:rFonts w:ascii="Calibri" w:hAnsi="Calibri" w:cs="Calibri"/>
          <w:sz w:val="22"/>
          <w:szCs w:val="22"/>
        </w:rPr>
        <w:t>O</w:t>
      </w:r>
      <w:r w:rsidR="00AA693C">
        <w:rPr>
          <w:rFonts w:ascii="Calibri" w:hAnsi="Calibri" w:cs="Calibri"/>
          <w:sz w:val="22"/>
          <w:szCs w:val="22"/>
        </w:rPr>
        <w:t>nset of action is 30 minutes.</w:t>
      </w:r>
    </w:p>
    <w:p w:rsidR="00AA693C" w:rsidRDefault="00AA693C" w:rsidP="00AA693C">
      <w:pPr>
        <w:rPr>
          <w:rFonts w:ascii="Calibri" w:hAnsi="Calibri" w:cs="Calibri"/>
          <w:sz w:val="22"/>
          <w:szCs w:val="22"/>
        </w:rPr>
      </w:pPr>
    </w:p>
    <w:p w:rsidR="00AA693C" w:rsidRPr="00503417" w:rsidRDefault="00AA693C" w:rsidP="00AA693C">
      <w:pPr>
        <w:ind w:left="2160"/>
        <w:rPr>
          <w:rFonts w:ascii="Calibri" w:hAnsi="Calibri" w:cs="Calibri"/>
          <w:b/>
          <w:sz w:val="22"/>
          <w:szCs w:val="22"/>
        </w:rPr>
      </w:pPr>
      <w:r w:rsidRPr="00503417">
        <w:rPr>
          <w:rFonts w:ascii="Calibri" w:hAnsi="Calibri" w:cs="Calibri"/>
          <w:b/>
          <w:sz w:val="22"/>
          <w:szCs w:val="22"/>
        </w:rPr>
        <w:t>TRANEXAMIC ACID (TXA) 1 gram IV</w:t>
      </w:r>
    </w:p>
    <w:p w:rsidR="00AA693C" w:rsidRDefault="00AA693C" w:rsidP="00AA693C">
      <w:pPr>
        <w:pStyle w:val="ListParagraph"/>
        <w:numPr>
          <w:ilvl w:val="0"/>
          <w:numId w:val="17"/>
        </w:numPr>
        <w:rPr>
          <w:rFonts w:ascii="Calibri" w:hAnsi="Calibri" w:cs="Calibri"/>
          <w:sz w:val="22"/>
          <w:szCs w:val="22"/>
        </w:rPr>
      </w:pPr>
      <w:r>
        <w:rPr>
          <w:rFonts w:ascii="Calibri" w:hAnsi="Calibri" w:cs="Calibri"/>
          <w:sz w:val="22"/>
          <w:szCs w:val="22"/>
        </w:rPr>
        <w:t>Give over 10 minutes</w:t>
      </w:r>
    </w:p>
    <w:p w:rsidR="00AA693C" w:rsidRDefault="00AA693C" w:rsidP="00AA693C">
      <w:pPr>
        <w:pStyle w:val="ListParagraph"/>
        <w:numPr>
          <w:ilvl w:val="0"/>
          <w:numId w:val="17"/>
        </w:numPr>
        <w:rPr>
          <w:rFonts w:ascii="Calibri" w:hAnsi="Calibri" w:cs="Calibri"/>
          <w:sz w:val="22"/>
          <w:szCs w:val="22"/>
        </w:rPr>
      </w:pPr>
      <w:r>
        <w:rPr>
          <w:rFonts w:ascii="Calibri" w:hAnsi="Calibri" w:cs="Calibri"/>
          <w:sz w:val="22"/>
          <w:szCs w:val="22"/>
        </w:rPr>
        <w:t>May be repeated if bleeding persists after 30 minutes or restarts within 24 hours.</w:t>
      </w:r>
    </w:p>
    <w:p w:rsidR="00AF7A1A" w:rsidRPr="001E1388" w:rsidRDefault="00AA693C" w:rsidP="00AA693C">
      <w:pPr>
        <w:pStyle w:val="ListParagraph"/>
        <w:numPr>
          <w:ilvl w:val="0"/>
          <w:numId w:val="17"/>
        </w:numPr>
        <w:rPr>
          <w:rFonts w:ascii="Calibri" w:hAnsi="Calibri" w:cs="Calibri"/>
          <w:sz w:val="22"/>
          <w:szCs w:val="22"/>
        </w:rPr>
      </w:pPr>
      <w:r w:rsidRPr="001E1388">
        <w:rPr>
          <w:rFonts w:ascii="Calibri" w:hAnsi="Calibri" w:cs="Calibri"/>
          <w:sz w:val="22"/>
          <w:szCs w:val="22"/>
        </w:rPr>
        <w:t xml:space="preserve">Consider giving if other second line uterotonics are unsuccessful. </w:t>
      </w:r>
    </w:p>
    <w:p w:rsidR="001E1388" w:rsidRDefault="001E1388" w:rsidP="00AA693C">
      <w:pPr>
        <w:ind w:left="1440" w:hanging="720"/>
        <w:rPr>
          <w:rFonts w:ascii="Calibri" w:hAnsi="Calibri" w:cs="Calibri"/>
          <w:sz w:val="22"/>
          <w:szCs w:val="22"/>
        </w:rPr>
      </w:pPr>
    </w:p>
    <w:p w:rsidR="00AA693C" w:rsidRPr="003313EC" w:rsidRDefault="00AF7A1A" w:rsidP="00AA693C">
      <w:pPr>
        <w:ind w:left="1440" w:hanging="720"/>
        <w:rPr>
          <w:rFonts w:ascii="Calibri" w:hAnsi="Calibri" w:cs="Calibri"/>
          <w:sz w:val="22"/>
          <w:szCs w:val="22"/>
        </w:rPr>
      </w:pPr>
      <w:r>
        <w:rPr>
          <w:rFonts w:ascii="Calibri" w:hAnsi="Calibri" w:cs="Calibri"/>
          <w:sz w:val="22"/>
          <w:szCs w:val="22"/>
        </w:rPr>
        <w:t>1</w:t>
      </w:r>
      <w:r w:rsidR="00AA693C">
        <w:rPr>
          <w:rFonts w:ascii="Calibri" w:hAnsi="Calibri" w:cs="Calibri"/>
          <w:sz w:val="22"/>
          <w:szCs w:val="22"/>
        </w:rPr>
        <w:t>.9</w:t>
      </w:r>
      <w:r w:rsidR="00AA693C">
        <w:rPr>
          <w:rFonts w:ascii="Calibri" w:hAnsi="Calibri" w:cs="Calibri"/>
          <w:sz w:val="22"/>
          <w:szCs w:val="22"/>
        </w:rPr>
        <w:tab/>
        <w:t>If the uterus is still atonic and bleeding persists then explore the uterus for retained products and remove if present.  If bleeding continues consider tamponade with the Bakri Balloon (instructions with the kit). If unsuccessful consider embolization or surgery (which may require transfer to another facility)</w:t>
      </w:r>
    </w:p>
    <w:p w:rsidR="00AA693C" w:rsidRDefault="00AA693C" w:rsidP="00AA693C">
      <w:pPr>
        <w:rPr>
          <w:rFonts w:ascii="Calibri" w:hAnsi="Calibri" w:cs="Calibri"/>
          <w:sz w:val="22"/>
          <w:szCs w:val="22"/>
        </w:rPr>
      </w:pPr>
    </w:p>
    <w:p w:rsidR="00AA693C" w:rsidRDefault="00AF7A1A" w:rsidP="00AA693C">
      <w:pPr>
        <w:ind w:left="720"/>
        <w:rPr>
          <w:rFonts w:ascii="Calibri" w:hAnsi="Calibri" w:cs="Calibri"/>
          <w:sz w:val="22"/>
          <w:szCs w:val="22"/>
        </w:rPr>
      </w:pPr>
      <w:r>
        <w:rPr>
          <w:rFonts w:ascii="Calibri" w:hAnsi="Calibri" w:cs="Calibri"/>
          <w:sz w:val="22"/>
          <w:szCs w:val="22"/>
        </w:rPr>
        <w:t>1</w:t>
      </w:r>
      <w:r w:rsidR="00AA693C">
        <w:rPr>
          <w:rFonts w:ascii="Calibri" w:hAnsi="Calibri" w:cs="Calibri"/>
          <w:sz w:val="22"/>
          <w:szCs w:val="22"/>
        </w:rPr>
        <w:t>.10</w:t>
      </w:r>
      <w:r w:rsidR="00AA693C">
        <w:rPr>
          <w:rFonts w:ascii="Calibri" w:hAnsi="Calibri" w:cs="Calibri"/>
          <w:sz w:val="22"/>
          <w:szCs w:val="22"/>
        </w:rPr>
        <w:tab/>
        <w:t xml:space="preserve">If the uterus </w:t>
      </w:r>
      <w:r w:rsidR="00C01809">
        <w:rPr>
          <w:rFonts w:ascii="Calibri" w:hAnsi="Calibri" w:cs="Calibri"/>
          <w:sz w:val="22"/>
          <w:szCs w:val="22"/>
        </w:rPr>
        <w:t>i</w:t>
      </w:r>
      <w:r w:rsidR="00AA693C">
        <w:rPr>
          <w:rFonts w:ascii="Calibri" w:hAnsi="Calibri" w:cs="Calibri"/>
          <w:sz w:val="22"/>
          <w:szCs w:val="22"/>
        </w:rPr>
        <w:t>s firm and the bleeding continues:</w:t>
      </w:r>
    </w:p>
    <w:p w:rsidR="00AA693C" w:rsidRPr="003313EC" w:rsidRDefault="00AA693C" w:rsidP="00AA693C">
      <w:pPr>
        <w:pStyle w:val="ListParagraph"/>
        <w:numPr>
          <w:ilvl w:val="0"/>
          <w:numId w:val="19"/>
        </w:numPr>
        <w:rPr>
          <w:rFonts w:ascii="Calibri" w:hAnsi="Calibri" w:cs="Calibri"/>
          <w:sz w:val="22"/>
          <w:szCs w:val="22"/>
        </w:rPr>
      </w:pPr>
      <w:r w:rsidRPr="003313EC">
        <w:rPr>
          <w:rFonts w:ascii="Calibri" w:hAnsi="Calibri" w:cs="Calibri"/>
          <w:sz w:val="22"/>
          <w:szCs w:val="22"/>
        </w:rPr>
        <w:t>Get help and resuscitate the patient</w:t>
      </w:r>
    </w:p>
    <w:p w:rsidR="00AA693C" w:rsidRDefault="00AA693C" w:rsidP="00AA693C">
      <w:pPr>
        <w:pStyle w:val="ListParagraph"/>
        <w:numPr>
          <w:ilvl w:val="0"/>
          <w:numId w:val="18"/>
        </w:numPr>
        <w:rPr>
          <w:rFonts w:ascii="Calibri" w:hAnsi="Calibri" w:cs="Calibri"/>
          <w:sz w:val="22"/>
          <w:szCs w:val="22"/>
        </w:rPr>
      </w:pPr>
      <w:r>
        <w:rPr>
          <w:rFonts w:ascii="Calibri" w:hAnsi="Calibri" w:cs="Calibri"/>
          <w:sz w:val="22"/>
          <w:szCs w:val="22"/>
        </w:rPr>
        <w:t>Use component blood products if required</w:t>
      </w:r>
    </w:p>
    <w:p w:rsidR="00AA693C" w:rsidRDefault="00AA693C" w:rsidP="00AA693C">
      <w:pPr>
        <w:pStyle w:val="ListParagraph"/>
        <w:numPr>
          <w:ilvl w:val="0"/>
          <w:numId w:val="18"/>
        </w:numPr>
        <w:rPr>
          <w:rFonts w:ascii="Calibri" w:hAnsi="Calibri" w:cs="Calibri"/>
          <w:sz w:val="22"/>
          <w:szCs w:val="22"/>
        </w:rPr>
      </w:pPr>
      <w:r>
        <w:rPr>
          <w:rFonts w:ascii="Calibri" w:hAnsi="Calibri" w:cs="Calibri"/>
          <w:sz w:val="22"/>
          <w:szCs w:val="22"/>
        </w:rPr>
        <w:t>Explore the lower genital tract using appropriate analgesia and/or anesthesia (good lighting, exposure and assistance is essential to assess for lacerations).</w:t>
      </w:r>
    </w:p>
    <w:p w:rsidR="00C01809" w:rsidRDefault="00C01809" w:rsidP="00C01809">
      <w:pPr>
        <w:pStyle w:val="ListParagraph"/>
        <w:ind w:left="2880"/>
        <w:rPr>
          <w:rFonts w:ascii="Calibri" w:hAnsi="Calibri" w:cs="Calibri"/>
          <w:sz w:val="22"/>
          <w:szCs w:val="22"/>
        </w:rPr>
      </w:pPr>
    </w:p>
    <w:p w:rsidR="00C01809" w:rsidRDefault="00AF7A1A" w:rsidP="00C01809">
      <w:pPr>
        <w:ind w:left="720"/>
        <w:rPr>
          <w:rFonts w:ascii="Calibri" w:hAnsi="Calibri" w:cs="Calibri"/>
          <w:sz w:val="22"/>
          <w:szCs w:val="22"/>
        </w:rPr>
      </w:pPr>
      <w:r>
        <w:rPr>
          <w:rFonts w:ascii="Calibri" w:hAnsi="Calibri" w:cs="Calibri"/>
          <w:sz w:val="22"/>
          <w:szCs w:val="22"/>
        </w:rPr>
        <w:t>1</w:t>
      </w:r>
      <w:r w:rsidR="00C01809">
        <w:rPr>
          <w:rFonts w:ascii="Calibri" w:hAnsi="Calibri" w:cs="Calibri"/>
          <w:sz w:val="22"/>
          <w:szCs w:val="22"/>
        </w:rPr>
        <w:t>.11</w:t>
      </w:r>
      <w:r w:rsidR="00C01809">
        <w:rPr>
          <w:rFonts w:ascii="Calibri" w:hAnsi="Calibri" w:cs="Calibri"/>
          <w:sz w:val="22"/>
          <w:szCs w:val="22"/>
        </w:rPr>
        <w:tab/>
        <w:t>If bleeding continues and is originating from the uterus:</w:t>
      </w:r>
    </w:p>
    <w:p w:rsidR="00C01809" w:rsidRDefault="00C01809" w:rsidP="00C01809">
      <w:pPr>
        <w:pStyle w:val="ListParagraph"/>
        <w:numPr>
          <w:ilvl w:val="0"/>
          <w:numId w:val="20"/>
        </w:numPr>
        <w:rPr>
          <w:rFonts w:ascii="Calibri" w:hAnsi="Calibri" w:cs="Calibri"/>
          <w:sz w:val="22"/>
          <w:szCs w:val="22"/>
        </w:rPr>
      </w:pPr>
      <w:r>
        <w:rPr>
          <w:rFonts w:ascii="Calibri" w:hAnsi="Calibri" w:cs="Calibri"/>
          <w:sz w:val="22"/>
          <w:szCs w:val="22"/>
        </w:rPr>
        <w:t>Evaluate for coagulopathy.  If abnormal, or suspected abnormal, correct with fresh frozen plasma (FFP), cryoprecipitate, platelets and/or RBC’s.</w:t>
      </w:r>
    </w:p>
    <w:p w:rsidR="00C01809" w:rsidRDefault="00C01809" w:rsidP="00C01809">
      <w:pPr>
        <w:pStyle w:val="ListParagraph"/>
        <w:numPr>
          <w:ilvl w:val="0"/>
          <w:numId w:val="20"/>
        </w:numPr>
        <w:rPr>
          <w:rFonts w:ascii="Calibri" w:hAnsi="Calibri" w:cs="Calibri"/>
          <w:sz w:val="22"/>
          <w:szCs w:val="22"/>
        </w:rPr>
      </w:pPr>
      <w:r>
        <w:rPr>
          <w:rFonts w:ascii="Calibri" w:hAnsi="Calibri" w:cs="Calibri"/>
          <w:sz w:val="22"/>
          <w:szCs w:val="22"/>
        </w:rPr>
        <w:t>Take the patient to the OR to rule out uterine rupture or inadequate repair.  Be prepared to ligate the uterine/ovarian arteries, perform uterine compression sutures (B-Lynch and Cho), or hysterectomy.</w:t>
      </w:r>
    </w:p>
    <w:p w:rsidR="00C01809" w:rsidRDefault="00C01809" w:rsidP="00C01809">
      <w:pPr>
        <w:rPr>
          <w:rFonts w:ascii="Calibri" w:hAnsi="Calibri" w:cs="Calibri"/>
          <w:sz w:val="22"/>
          <w:szCs w:val="22"/>
        </w:rPr>
      </w:pPr>
    </w:p>
    <w:p w:rsidR="00C01809" w:rsidRPr="007C563A" w:rsidRDefault="00AF7A1A" w:rsidP="00C01809">
      <w:pPr>
        <w:ind w:left="1440" w:hanging="720"/>
        <w:rPr>
          <w:rFonts w:ascii="Calibri" w:hAnsi="Calibri" w:cs="Calibri"/>
          <w:sz w:val="22"/>
          <w:szCs w:val="22"/>
        </w:rPr>
      </w:pPr>
      <w:r>
        <w:rPr>
          <w:rFonts w:ascii="Calibri" w:hAnsi="Calibri" w:cs="Calibri"/>
          <w:sz w:val="22"/>
          <w:szCs w:val="22"/>
        </w:rPr>
        <w:t>1</w:t>
      </w:r>
      <w:r w:rsidR="00C01809">
        <w:rPr>
          <w:rFonts w:ascii="Calibri" w:hAnsi="Calibri" w:cs="Calibri"/>
          <w:sz w:val="22"/>
          <w:szCs w:val="22"/>
        </w:rPr>
        <w:t>.12</w:t>
      </w:r>
      <w:r w:rsidR="00C01809">
        <w:rPr>
          <w:rFonts w:ascii="Calibri" w:hAnsi="Calibri" w:cs="Calibri"/>
          <w:sz w:val="22"/>
          <w:szCs w:val="22"/>
        </w:rPr>
        <w:tab/>
        <w:t xml:space="preserve">Patients who cannot receive blood require careful pre-labour assessment and transfer to a center more equipped to deal with a PPH should it occur.  While respecting the woman’s desire for no blood products to be given, the clinician must employ all other treatment options for PPH </w:t>
      </w:r>
      <w:r w:rsidR="00446369">
        <w:rPr>
          <w:rFonts w:ascii="Calibri" w:hAnsi="Calibri" w:cs="Calibri"/>
          <w:sz w:val="22"/>
          <w:szCs w:val="22"/>
        </w:rPr>
        <w:t>t</w:t>
      </w:r>
      <w:r w:rsidR="00C01809">
        <w:rPr>
          <w:rFonts w:ascii="Calibri" w:hAnsi="Calibri" w:cs="Calibri"/>
          <w:sz w:val="22"/>
          <w:szCs w:val="22"/>
        </w:rPr>
        <w:t xml:space="preserve">o the fullest. </w:t>
      </w:r>
    </w:p>
    <w:p w:rsidR="00A6375B" w:rsidRDefault="00A6375B" w:rsidP="00230791">
      <w:pPr>
        <w:snapToGrid w:val="0"/>
        <w:rPr>
          <w:rFonts w:ascii="Calibri" w:hAnsi="Calibri" w:cs="Calibri"/>
          <w:b/>
          <w:sz w:val="22"/>
          <w:szCs w:val="22"/>
          <w:u w:val="single"/>
        </w:rPr>
      </w:pPr>
    </w:p>
    <w:p w:rsidR="00230791" w:rsidRDefault="00230791" w:rsidP="00230791">
      <w:pPr>
        <w:snapToGrid w:val="0"/>
        <w:rPr>
          <w:rFonts w:ascii="Calibri" w:hAnsi="Calibri" w:cs="Calibri"/>
          <w:b/>
          <w:sz w:val="22"/>
          <w:szCs w:val="22"/>
          <w:u w:val="single"/>
        </w:rPr>
      </w:pPr>
      <w:r w:rsidRPr="00230791">
        <w:rPr>
          <w:rFonts w:ascii="Calibri" w:hAnsi="Calibri" w:cs="Calibri"/>
          <w:b/>
          <w:sz w:val="22"/>
          <w:szCs w:val="22"/>
          <w:u w:val="single"/>
        </w:rPr>
        <w:t>DEFINITIONS</w:t>
      </w:r>
    </w:p>
    <w:p w:rsidR="00503417" w:rsidRDefault="00503417" w:rsidP="00230791">
      <w:pPr>
        <w:snapToGrid w:val="0"/>
        <w:rPr>
          <w:rStyle w:val="e24kjd"/>
          <w:rFonts w:asciiTheme="minorHAnsi" w:hAnsiTheme="minorHAnsi" w:cs="Arial"/>
          <w:color w:val="222222"/>
          <w:sz w:val="22"/>
          <w:szCs w:val="22"/>
          <w:lang w:val="en-CA"/>
        </w:rPr>
      </w:pPr>
      <w:r w:rsidRPr="00503417">
        <w:rPr>
          <w:rFonts w:ascii="Calibri" w:hAnsi="Calibri" w:cs="Calibri"/>
          <w:sz w:val="22"/>
          <w:szCs w:val="22"/>
        </w:rPr>
        <w:t>Most responsible prov</w:t>
      </w:r>
      <w:r>
        <w:rPr>
          <w:rFonts w:ascii="Calibri" w:hAnsi="Calibri" w:cs="Calibri"/>
          <w:sz w:val="22"/>
          <w:szCs w:val="22"/>
        </w:rPr>
        <w:t>ider</w:t>
      </w:r>
      <w:r w:rsidR="00446369">
        <w:rPr>
          <w:rFonts w:ascii="Calibri" w:hAnsi="Calibri" w:cs="Calibri"/>
          <w:sz w:val="22"/>
          <w:szCs w:val="22"/>
        </w:rPr>
        <w:t xml:space="preserve"> (MRP) is a </w:t>
      </w:r>
      <w:r w:rsidR="00446369" w:rsidRPr="00446369">
        <w:rPr>
          <w:rStyle w:val="e24kjd"/>
          <w:rFonts w:asciiTheme="minorHAnsi" w:hAnsiTheme="minorHAnsi" w:cs="Arial"/>
          <w:color w:val="222222"/>
          <w:sz w:val="22"/>
          <w:szCs w:val="22"/>
          <w:lang w:val="en-CA"/>
        </w:rPr>
        <w:t xml:space="preserve">regulated healthcare professional, who has overall </w:t>
      </w:r>
      <w:r w:rsidR="00446369" w:rsidRPr="00446369">
        <w:rPr>
          <w:rStyle w:val="e24kjd"/>
          <w:rFonts w:asciiTheme="minorHAnsi" w:hAnsiTheme="minorHAnsi" w:cs="Arial"/>
          <w:bCs/>
          <w:color w:val="222222"/>
          <w:sz w:val="22"/>
          <w:szCs w:val="22"/>
          <w:lang w:val="en-CA"/>
        </w:rPr>
        <w:t>responsibility</w:t>
      </w:r>
      <w:r w:rsidR="00446369" w:rsidRPr="00446369">
        <w:rPr>
          <w:rStyle w:val="e24kjd"/>
          <w:rFonts w:asciiTheme="minorHAnsi" w:hAnsiTheme="minorHAnsi" w:cs="Arial"/>
          <w:color w:val="222222"/>
          <w:sz w:val="22"/>
          <w:szCs w:val="22"/>
          <w:lang w:val="en-CA"/>
        </w:rPr>
        <w:t xml:space="preserve"> for directing and coordinating the care and management of a patient at a specific point in time.</w:t>
      </w:r>
    </w:p>
    <w:p w:rsidR="00446369" w:rsidRPr="00446369" w:rsidRDefault="00446369" w:rsidP="00230791">
      <w:pPr>
        <w:snapToGrid w:val="0"/>
        <w:rPr>
          <w:rFonts w:asciiTheme="minorHAnsi" w:hAnsiTheme="minorHAnsi" w:cs="Calibri"/>
          <w:sz w:val="22"/>
          <w:szCs w:val="22"/>
        </w:rPr>
      </w:pPr>
    </w:p>
    <w:p w:rsidR="00BE4239" w:rsidRDefault="00446369" w:rsidP="00BE4239">
      <w:pPr>
        <w:widowControl/>
        <w:rPr>
          <w:rFonts w:asciiTheme="minorHAnsi" w:hAnsiTheme="minorHAnsi" w:cs="Arial"/>
          <w:snapToGrid/>
          <w:color w:val="222222"/>
          <w:sz w:val="22"/>
          <w:szCs w:val="22"/>
          <w:lang w:val="en-CA"/>
        </w:rPr>
      </w:pPr>
      <w:r>
        <w:rPr>
          <w:rFonts w:ascii="Calibri" w:hAnsi="Calibri" w:cs="Calibri"/>
          <w:sz w:val="22"/>
          <w:szCs w:val="22"/>
        </w:rPr>
        <w:t>I</w:t>
      </w:r>
      <w:r w:rsidR="00A614A1">
        <w:rPr>
          <w:rFonts w:ascii="Calibri" w:hAnsi="Calibri" w:cs="Calibri"/>
          <w:sz w:val="22"/>
          <w:szCs w:val="22"/>
        </w:rPr>
        <w:t>ntramuscular</w:t>
      </w:r>
      <w:r>
        <w:rPr>
          <w:rFonts w:ascii="Calibri" w:hAnsi="Calibri" w:cs="Calibri"/>
          <w:sz w:val="22"/>
          <w:szCs w:val="22"/>
        </w:rPr>
        <w:t xml:space="preserve"> (IM) </w:t>
      </w:r>
      <w:r w:rsidR="00BE4239" w:rsidRPr="00BE4239">
        <w:rPr>
          <w:rFonts w:asciiTheme="minorHAnsi" w:hAnsiTheme="minorHAnsi" w:cs="Arial"/>
          <w:snapToGrid/>
          <w:color w:val="222222"/>
          <w:sz w:val="22"/>
          <w:szCs w:val="22"/>
          <w:lang w:val="en-CA"/>
        </w:rPr>
        <w:t>situated or taking place within, or administered into, a muscle</w:t>
      </w:r>
      <w:r w:rsidR="00BE4239">
        <w:rPr>
          <w:rFonts w:asciiTheme="minorHAnsi" w:hAnsiTheme="minorHAnsi" w:cs="Arial"/>
          <w:snapToGrid/>
          <w:color w:val="222222"/>
          <w:sz w:val="22"/>
          <w:szCs w:val="22"/>
          <w:lang w:val="en-CA"/>
        </w:rPr>
        <w:t>.</w:t>
      </w:r>
    </w:p>
    <w:p w:rsidR="00BE4239" w:rsidRPr="00BE4239" w:rsidRDefault="00BE4239" w:rsidP="00BE4239">
      <w:pPr>
        <w:widowControl/>
        <w:rPr>
          <w:rFonts w:asciiTheme="minorHAnsi" w:hAnsiTheme="minorHAnsi" w:cs="Arial"/>
          <w:snapToGrid/>
          <w:color w:val="222222"/>
          <w:sz w:val="22"/>
          <w:szCs w:val="22"/>
          <w:lang w:val="en-CA"/>
        </w:rPr>
      </w:pPr>
    </w:p>
    <w:p w:rsidR="00A614A1" w:rsidRPr="00503417" w:rsidRDefault="00446369" w:rsidP="00230791">
      <w:pPr>
        <w:snapToGrid w:val="0"/>
        <w:rPr>
          <w:rFonts w:ascii="Calibri" w:hAnsi="Calibri" w:cs="Calibri"/>
          <w:sz w:val="22"/>
          <w:szCs w:val="22"/>
        </w:rPr>
      </w:pPr>
      <w:r>
        <w:rPr>
          <w:rFonts w:ascii="Calibri" w:hAnsi="Calibri" w:cs="Calibri"/>
          <w:sz w:val="22"/>
          <w:szCs w:val="22"/>
        </w:rPr>
        <w:t>I</w:t>
      </w:r>
      <w:r w:rsidR="00A614A1">
        <w:rPr>
          <w:rFonts w:ascii="Calibri" w:hAnsi="Calibri" w:cs="Calibri"/>
          <w:sz w:val="22"/>
          <w:szCs w:val="22"/>
        </w:rPr>
        <w:t>ntramyometria</w:t>
      </w:r>
      <w:r w:rsidR="00BE4239">
        <w:rPr>
          <w:rFonts w:ascii="Calibri" w:hAnsi="Calibri" w:cs="Calibri"/>
          <w:sz w:val="22"/>
          <w:szCs w:val="22"/>
        </w:rPr>
        <w:t>l</w:t>
      </w:r>
      <w:r>
        <w:rPr>
          <w:rFonts w:ascii="Calibri" w:hAnsi="Calibri" w:cs="Calibri"/>
          <w:sz w:val="22"/>
          <w:szCs w:val="22"/>
        </w:rPr>
        <w:t xml:space="preserve"> (IMM)</w:t>
      </w:r>
      <w:r w:rsidR="00A614A1">
        <w:rPr>
          <w:rFonts w:ascii="Calibri" w:hAnsi="Calibri" w:cs="Calibri"/>
          <w:sz w:val="22"/>
          <w:szCs w:val="22"/>
        </w:rPr>
        <w:t xml:space="preserve"> within or into the myometrium the middle layer of the uterine wall</w:t>
      </w:r>
      <w:r w:rsidR="00BE4239">
        <w:rPr>
          <w:rFonts w:ascii="Calibri" w:hAnsi="Calibri" w:cs="Calibri"/>
          <w:sz w:val="22"/>
          <w:szCs w:val="22"/>
        </w:rPr>
        <w:t>.</w:t>
      </w:r>
    </w:p>
    <w:p w:rsidR="00230791" w:rsidRDefault="00230791" w:rsidP="00230791">
      <w:pPr>
        <w:snapToGrid w:val="0"/>
        <w:rPr>
          <w:rFonts w:ascii="Calibri" w:hAnsi="Calibri" w:cs="Calibri"/>
          <w:b/>
          <w:sz w:val="22"/>
          <w:szCs w:val="22"/>
          <w:u w:val="single"/>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REFERENCES</w:t>
      </w:r>
    </w:p>
    <w:p w:rsidR="00AF7A1A" w:rsidRDefault="00AF7A1A" w:rsidP="00230791">
      <w:pPr>
        <w:snapToGrid w:val="0"/>
        <w:rPr>
          <w:rFonts w:ascii="Calibri" w:hAnsi="Calibri" w:cs="Calibri"/>
          <w:b/>
          <w:sz w:val="22"/>
          <w:szCs w:val="22"/>
          <w:u w:val="single"/>
        </w:rPr>
      </w:pPr>
    </w:p>
    <w:p w:rsidR="00AF7A1A" w:rsidRDefault="00AF7A1A" w:rsidP="00AF7A1A">
      <w:pPr>
        <w:rPr>
          <w:rFonts w:ascii="Calibri" w:hAnsi="Calibri" w:cs="Calibri"/>
          <w:sz w:val="22"/>
          <w:szCs w:val="22"/>
        </w:rPr>
      </w:pPr>
      <w:r>
        <w:rPr>
          <w:rFonts w:ascii="Calibri" w:hAnsi="Calibri" w:cs="Calibri"/>
          <w:sz w:val="22"/>
          <w:szCs w:val="22"/>
        </w:rPr>
        <w:t>Society of Obstetricians and Gynecologists of Canada (SOGC),  Advances in Labour and Risk Management (ALARM), 24</w:t>
      </w:r>
      <w:r w:rsidRPr="008651A6">
        <w:rPr>
          <w:rFonts w:ascii="Calibri" w:hAnsi="Calibri" w:cs="Calibri"/>
          <w:sz w:val="22"/>
          <w:szCs w:val="22"/>
          <w:vertAlign w:val="superscript"/>
        </w:rPr>
        <w:t>th</w:t>
      </w:r>
      <w:r>
        <w:rPr>
          <w:rFonts w:ascii="Calibri" w:hAnsi="Calibri" w:cs="Calibri"/>
          <w:sz w:val="22"/>
          <w:szCs w:val="22"/>
        </w:rPr>
        <w:t xml:space="preserve"> edition.</w:t>
      </w:r>
    </w:p>
    <w:p w:rsidR="00AF7A1A" w:rsidRDefault="00AF7A1A" w:rsidP="00AF7A1A">
      <w:pPr>
        <w:rPr>
          <w:rFonts w:ascii="Calibri" w:hAnsi="Calibri" w:cs="Calibri"/>
          <w:sz w:val="22"/>
          <w:szCs w:val="22"/>
        </w:rPr>
      </w:pPr>
    </w:p>
    <w:p w:rsidR="00AF7A1A" w:rsidRDefault="00AF7A1A" w:rsidP="00AF7A1A">
      <w:pPr>
        <w:rPr>
          <w:rFonts w:ascii="Calibri" w:hAnsi="Calibri" w:cs="Calibri"/>
          <w:sz w:val="22"/>
          <w:szCs w:val="22"/>
        </w:rPr>
      </w:pPr>
      <w:r>
        <w:rPr>
          <w:rFonts w:ascii="Calibri" w:hAnsi="Calibri" w:cs="Calibri"/>
          <w:sz w:val="22"/>
          <w:szCs w:val="22"/>
        </w:rPr>
        <w:t>Prevention and Management of Postpartum Hemorrhage, SOGC Clinical Practice Guidelines, No 88, April 2000.</w:t>
      </w:r>
    </w:p>
    <w:p w:rsidR="00AF7A1A" w:rsidRDefault="00AF7A1A" w:rsidP="00AF7A1A">
      <w:pPr>
        <w:rPr>
          <w:rFonts w:ascii="Calibri" w:hAnsi="Calibri" w:cs="Calibri"/>
          <w:sz w:val="22"/>
          <w:szCs w:val="22"/>
        </w:rPr>
      </w:pPr>
    </w:p>
    <w:p w:rsidR="00AF7A1A" w:rsidRDefault="00AF7A1A" w:rsidP="00AF7A1A">
      <w:pPr>
        <w:snapToGrid w:val="0"/>
        <w:rPr>
          <w:rFonts w:ascii="Calibri" w:hAnsi="Calibri" w:cs="Calibri"/>
          <w:sz w:val="22"/>
          <w:szCs w:val="22"/>
        </w:rPr>
      </w:pPr>
      <w:r>
        <w:rPr>
          <w:rFonts w:ascii="Calibri" w:hAnsi="Calibri" w:cs="Calibri"/>
          <w:sz w:val="22"/>
          <w:szCs w:val="22"/>
        </w:rPr>
        <w:t>Postpartum Hemorrhage, More OB, 2018</w:t>
      </w:r>
    </w:p>
    <w:p w:rsidR="00AF7A1A" w:rsidRDefault="00AF7A1A" w:rsidP="00AF7A1A">
      <w:pPr>
        <w:snapToGrid w:val="0"/>
        <w:rPr>
          <w:rFonts w:ascii="Calibri" w:hAnsi="Calibri" w:cs="Calibri"/>
          <w:sz w:val="22"/>
          <w:szCs w:val="22"/>
        </w:rPr>
      </w:pPr>
    </w:p>
    <w:p w:rsidR="00AF7A1A" w:rsidRDefault="00AF7A1A" w:rsidP="00AF7A1A">
      <w:pPr>
        <w:snapToGrid w:val="0"/>
        <w:rPr>
          <w:rFonts w:ascii="Calibri" w:hAnsi="Calibri" w:cs="Calibri"/>
          <w:sz w:val="22"/>
          <w:szCs w:val="22"/>
        </w:rPr>
      </w:pPr>
      <w:r>
        <w:rPr>
          <w:rFonts w:ascii="Calibri" w:hAnsi="Calibri" w:cs="Calibri"/>
          <w:sz w:val="22"/>
          <w:szCs w:val="22"/>
        </w:rPr>
        <w:t xml:space="preserve">Appendix 1: </w:t>
      </w:r>
      <w:r w:rsidR="00A06ADF">
        <w:rPr>
          <w:rFonts w:ascii="Calibri" w:hAnsi="Calibri" w:cs="Calibri"/>
          <w:sz w:val="22"/>
          <w:szCs w:val="22"/>
        </w:rPr>
        <w:t>PIPINGAS TECHNIQUE</w:t>
      </w:r>
    </w:p>
    <w:p w:rsidR="00AF7A1A" w:rsidRDefault="00AF7A1A" w:rsidP="00AF7A1A">
      <w:pPr>
        <w:snapToGrid w:val="0"/>
        <w:rPr>
          <w:rFonts w:ascii="Calibri" w:hAnsi="Calibri" w:cs="Calibri"/>
          <w:sz w:val="22"/>
          <w:szCs w:val="22"/>
        </w:rPr>
      </w:pPr>
    </w:p>
    <w:p w:rsidR="00A06ADF" w:rsidRDefault="00AF7A1A" w:rsidP="00AF7A1A">
      <w:pPr>
        <w:snapToGrid w:val="0"/>
        <w:rPr>
          <w:rFonts w:ascii="Calibri" w:hAnsi="Calibri" w:cs="Calibri"/>
          <w:sz w:val="22"/>
          <w:szCs w:val="22"/>
        </w:rPr>
      </w:pPr>
      <w:r>
        <w:rPr>
          <w:rFonts w:ascii="Calibri" w:hAnsi="Calibri" w:cs="Calibri"/>
          <w:sz w:val="22"/>
          <w:szCs w:val="22"/>
        </w:rPr>
        <w:t xml:space="preserve">Appendix 2: </w:t>
      </w:r>
      <w:r w:rsidR="00A06ADF">
        <w:rPr>
          <w:rFonts w:ascii="Calibri" w:hAnsi="Calibri" w:cs="Calibri"/>
          <w:sz w:val="22"/>
          <w:szCs w:val="22"/>
        </w:rPr>
        <w:t>PPH DECISION TREE</w:t>
      </w:r>
    </w:p>
    <w:p w:rsidR="00A06ADF" w:rsidRDefault="00A06ADF" w:rsidP="00AF7A1A">
      <w:pPr>
        <w:snapToGrid w:val="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A06ADF" w:rsidRDefault="00A06ADF" w:rsidP="00AF7A1A">
      <w:pPr>
        <w:snapToGrid w:val="0"/>
        <w:rPr>
          <w:rFonts w:ascii="Calibri" w:hAnsi="Calibri" w:cs="Calibri"/>
          <w:sz w:val="22"/>
          <w:szCs w:val="22"/>
        </w:rPr>
      </w:pPr>
    </w:p>
    <w:p w:rsidR="00AF7A1A" w:rsidRDefault="00A06ADF" w:rsidP="00BE4239">
      <w:pPr>
        <w:snapToGrid w:val="0"/>
        <w:jc w:val="center"/>
        <w:rPr>
          <w:rFonts w:ascii="Calibri" w:hAnsi="Calibri" w:cs="Calibri"/>
          <w:sz w:val="22"/>
          <w:szCs w:val="22"/>
        </w:rPr>
      </w:pPr>
      <w:r w:rsidRPr="00A06ADF">
        <w:rPr>
          <w:rFonts w:ascii="Calibri" w:hAnsi="Calibri" w:cs="Calibri"/>
          <w:b/>
          <w:sz w:val="22"/>
          <w:szCs w:val="22"/>
        </w:rPr>
        <w:t>APPENDIX 1</w:t>
      </w:r>
      <w:r>
        <w:rPr>
          <w:rFonts w:ascii="Calibri" w:hAnsi="Calibri" w:cs="Calibri"/>
          <w:b/>
          <w:sz w:val="22"/>
          <w:szCs w:val="22"/>
        </w:rPr>
        <w:t>: PIPINGAS TECHNIQUE</w:t>
      </w:r>
    </w:p>
    <w:p w:rsidR="00AF7A1A" w:rsidRDefault="00AF7A1A" w:rsidP="00AF7A1A">
      <w:pPr>
        <w:snapToGrid w:val="0"/>
        <w:rPr>
          <w:rFonts w:ascii="Calibri" w:hAnsi="Calibri" w:cs="Calibri"/>
          <w:sz w:val="22"/>
          <w:szCs w:val="22"/>
        </w:rPr>
      </w:pPr>
    </w:p>
    <w:p w:rsidR="00A06ADF" w:rsidRDefault="00A06ADF" w:rsidP="00A06ADF">
      <w:pPr>
        <w:jc w:val="center"/>
        <w:rPr>
          <w:rFonts w:ascii="Calibri" w:hAnsi="Calibri" w:cs="Calibri"/>
          <w:sz w:val="22"/>
          <w:szCs w:val="22"/>
        </w:rPr>
      </w:pPr>
    </w:p>
    <w:p w:rsidR="00A06ADF" w:rsidRDefault="00A06ADF" w:rsidP="00A06ADF">
      <w:pPr>
        <w:rPr>
          <w:rFonts w:ascii="Calibri" w:hAnsi="Calibri" w:cs="Calibri"/>
          <w:sz w:val="22"/>
          <w:szCs w:val="22"/>
        </w:rPr>
      </w:pPr>
      <w:r>
        <w:rPr>
          <w:rFonts w:ascii="Calibri" w:hAnsi="Calibri" w:cs="Calibri"/>
          <w:sz w:val="22"/>
          <w:szCs w:val="22"/>
        </w:rPr>
        <w:t>This technique may be employed to try and promote separation of a retained placenta and hopefully avoid the need for manual removal of the placenta.  This should be considered if the placenta has not separated within 30-45 minutes of birth and there is no significant bleeding.</w:t>
      </w:r>
    </w:p>
    <w:p w:rsidR="00A06ADF" w:rsidRDefault="00A06ADF" w:rsidP="00A06ADF">
      <w:pPr>
        <w:rPr>
          <w:rFonts w:ascii="Calibri" w:hAnsi="Calibri" w:cs="Calibri"/>
          <w:sz w:val="22"/>
          <w:szCs w:val="22"/>
        </w:rPr>
      </w:pPr>
    </w:p>
    <w:p w:rsidR="00A06ADF" w:rsidRPr="0040049D" w:rsidRDefault="00A06ADF" w:rsidP="00A06ADF">
      <w:pPr>
        <w:pStyle w:val="ListParagraph"/>
        <w:numPr>
          <w:ilvl w:val="0"/>
          <w:numId w:val="22"/>
        </w:numPr>
        <w:rPr>
          <w:rFonts w:ascii="Calibri" w:hAnsi="Calibri" w:cs="Calibri"/>
          <w:sz w:val="22"/>
          <w:szCs w:val="22"/>
        </w:rPr>
      </w:pPr>
      <w:r w:rsidRPr="0040049D">
        <w:rPr>
          <w:rFonts w:ascii="Calibri" w:hAnsi="Calibri" w:cs="Calibri"/>
          <w:sz w:val="22"/>
          <w:szCs w:val="22"/>
        </w:rPr>
        <w:t>Explain the procedure and obtain consent from the patient.</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Prepare a syringe with the medication in 30 ml of normal saline. Crush and dissolve 4 x 200 mcg tablets of misoprostol in 30 ml of normal saline (forms a milky solution).</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Identify the umbilical vein.  Recut the cord if necessary.</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Insert a size 10 nasogastric tube into the umbilical vein.  If resistance is felt, retract the catheter by 1-2 cm, and then advance further, if possible.</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The tube has reached the placenta when the majority of the catheter is inserted and resistance is felt. (The lengths of umbilical cords varied from 30-47 cm in the Rogers’ study).</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 xml:space="preserve">Retract by 3-4 cm to ensure the tip is in the umbilical vein and not in a placental branch. </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Attach the syringe, inject the solution, and then clamp the cord with the catheter in place.</w:t>
      </w:r>
    </w:p>
    <w:p w:rsidR="00A06ADF" w:rsidRDefault="00A06ADF" w:rsidP="00A06ADF">
      <w:pPr>
        <w:pStyle w:val="ListParagraph"/>
        <w:numPr>
          <w:ilvl w:val="0"/>
          <w:numId w:val="22"/>
        </w:numPr>
        <w:rPr>
          <w:rFonts w:ascii="Calibri" w:hAnsi="Calibri" w:cs="Calibri"/>
          <w:sz w:val="22"/>
          <w:szCs w:val="22"/>
        </w:rPr>
      </w:pPr>
      <w:r>
        <w:rPr>
          <w:rFonts w:ascii="Calibri" w:hAnsi="Calibri" w:cs="Calibri"/>
          <w:sz w:val="22"/>
          <w:szCs w:val="22"/>
        </w:rPr>
        <w:t>Note the time of the injection.</w:t>
      </w:r>
    </w:p>
    <w:p w:rsidR="00AF7A1A" w:rsidRPr="00584193" w:rsidRDefault="00A06ADF" w:rsidP="00AF7A1A">
      <w:pPr>
        <w:pStyle w:val="ListParagraph"/>
        <w:numPr>
          <w:ilvl w:val="0"/>
          <w:numId w:val="22"/>
        </w:numPr>
        <w:snapToGrid w:val="0"/>
        <w:rPr>
          <w:rFonts w:ascii="Calibri" w:hAnsi="Calibri" w:cs="Calibri"/>
          <w:sz w:val="22"/>
          <w:szCs w:val="22"/>
        </w:rPr>
      </w:pPr>
      <w:r w:rsidRPr="00584193">
        <w:rPr>
          <w:rFonts w:ascii="Calibri" w:hAnsi="Calibri" w:cs="Calibri"/>
          <w:sz w:val="22"/>
          <w:szCs w:val="22"/>
        </w:rPr>
        <w:t>Wait 10-30 minutes for the placenta to deliver.</w:t>
      </w:r>
    </w:p>
    <w:p w:rsidR="00AF7A1A" w:rsidRDefault="00AF7A1A" w:rsidP="00AF7A1A">
      <w:pPr>
        <w:snapToGrid w:val="0"/>
        <w:rPr>
          <w:rFonts w:ascii="Calibri" w:hAnsi="Calibri" w:cs="Calibri"/>
          <w:sz w:val="22"/>
          <w:szCs w:val="22"/>
        </w:rPr>
      </w:pPr>
    </w:p>
    <w:p w:rsidR="00AF7A1A" w:rsidRDefault="00AF7A1A" w:rsidP="00AF7A1A">
      <w:pPr>
        <w:snapToGrid w:val="0"/>
        <w:rPr>
          <w:rFonts w:ascii="Calibri" w:hAnsi="Calibri" w:cs="Calibri"/>
          <w:sz w:val="22"/>
          <w:szCs w:val="22"/>
        </w:rPr>
      </w:pPr>
    </w:p>
    <w:p w:rsidR="00F5551B" w:rsidRDefault="00BE4239" w:rsidP="00BE4239">
      <w:pPr>
        <w:jc w:val="center"/>
        <w:rPr>
          <w:rFonts w:ascii="Calibri" w:hAnsi="Calibri" w:cs="Calibri"/>
          <w:b/>
          <w:sz w:val="22"/>
          <w:szCs w:val="22"/>
        </w:rPr>
      </w:pPr>
      <w:r>
        <w:rPr>
          <w:rFonts w:ascii="Calibri" w:hAnsi="Calibri" w:cs="Calibri"/>
          <w:b/>
          <w:sz w:val="22"/>
          <w:szCs w:val="22"/>
        </w:rPr>
        <w:t>APPENDIX 2: PPH DECISION TREE</w:t>
      </w:r>
    </w:p>
    <w:p w:rsidR="00BE4239" w:rsidRDefault="00BE4239" w:rsidP="00BE4239">
      <w:pPr>
        <w:jc w:val="center"/>
        <w:rPr>
          <w:rFonts w:ascii="Calibri" w:hAnsi="Calibri" w:cs="Calibri"/>
          <w:b/>
          <w:sz w:val="22"/>
          <w:szCs w:val="22"/>
        </w:rPr>
      </w:pPr>
      <w:r>
        <w:rPr>
          <w:rFonts w:ascii="Calibri" w:hAnsi="Calibri" w:cs="Calibri"/>
          <w:i/>
          <w:noProof/>
          <w:snapToGrid/>
          <w:sz w:val="22"/>
          <w:szCs w:val="22"/>
        </w:rPr>
        <w:drawing>
          <wp:inline distT="0" distB="0" distL="0" distR="0" wp14:anchorId="611F3800" wp14:editId="05B43391">
            <wp:extent cx="6400800" cy="781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7810500"/>
                    </a:xfrm>
                    <a:prstGeom prst="rect">
                      <a:avLst/>
                    </a:prstGeom>
                    <a:noFill/>
                    <a:ln>
                      <a:noFill/>
                    </a:ln>
                  </pic:spPr>
                </pic:pic>
              </a:graphicData>
            </a:graphic>
          </wp:inline>
        </w:drawing>
      </w:r>
    </w:p>
    <w:sectPr w:rsidR="00BE4239" w:rsidSect="006A0458">
      <w:headerReference w:type="default" r:id="rId8"/>
      <w:footerReference w:type="default" r:id="rId9"/>
      <w:pgSz w:w="12240" w:h="15840" w:code="1"/>
      <w:pgMar w:top="864" w:right="1080" w:bottom="1008"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8B" w:rsidRDefault="0082408B">
      <w:r>
        <w:separator/>
      </w:r>
    </w:p>
  </w:endnote>
  <w:endnote w:type="continuationSeparator" w:id="0">
    <w:p w:rsidR="0082408B" w:rsidRDefault="0082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E911B3" w:rsidP="00DD1EC8">
    <w:pPr>
      <w:pStyle w:val="Footer"/>
      <w:pBdr>
        <w:bottom w:val="single" w:sz="12" w:space="0" w:color="auto"/>
      </w:pBdr>
      <w:rPr>
        <w:b/>
        <w:sz w:val="20"/>
      </w:rPr>
    </w:pPr>
  </w:p>
  <w:p w:rsidR="00E911B3" w:rsidRPr="00A15345" w:rsidRDefault="00E911B3" w:rsidP="00DD1EC8">
    <w:pPr>
      <w:pStyle w:val="Footer"/>
      <w:jc w:val="center"/>
      <w:rPr>
        <w:rFonts w:asciiTheme="minorHAnsi" w:hAnsiTheme="minorHAnsi"/>
        <w:i/>
        <w:sz w:val="20"/>
      </w:rPr>
    </w:pPr>
    <w:r w:rsidRPr="00A15345">
      <w:rPr>
        <w:rFonts w:asciiTheme="minorHAnsi" w:hAnsiTheme="minorHAnsi"/>
        <w:i/>
        <w:sz w:val="20"/>
      </w:rPr>
      <w:t>*** NOTE:  This is a controlled document.  Documents appearing in print form are not controlled and must be checked against the server version prior to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8B" w:rsidRDefault="0082408B">
      <w:r>
        <w:separator/>
      </w:r>
    </w:p>
  </w:footnote>
  <w:footnote w:type="continuationSeparator" w:id="0">
    <w:p w:rsidR="0082408B" w:rsidRDefault="0082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53"/>
      <w:gridCol w:w="3069"/>
      <w:gridCol w:w="1928"/>
      <w:gridCol w:w="2022"/>
      <w:gridCol w:w="1698"/>
    </w:tblGrid>
    <w:tr w:rsidR="00252BCD" w:rsidTr="00ED13A9">
      <w:tc>
        <w:tcPr>
          <w:tcW w:w="4518" w:type="dxa"/>
          <w:gridSpan w:val="2"/>
        </w:tcPr>
        <w:p w:rsidR="00252BCD" w:rsidRPr="006A0458" w:rsidRDefault="00252BCD" w:rsidP="00115D11">
          <w:pPr>
            <w:rPr>
              <w:rFonts w:ascii="Arial" w:hAnsi="Arial" w:cs="Arial"/>
              <w:b/>
              <w:sz w:val="4"/>
              <w:szCs w:val="4"/>
            </w:rPr>
          </w:pPr>
        </w:p>
        <w:p w:rsidR="00252BCD" w:rsidRDefault="00252BCD" w:rsidP="00115D11">
          <w:pPr>
            <w:rPr>
              <w:rFonts w:ascii="Arial" w:hAnsi="Arial" w:cs="Arial"/>
              <w:b/>
              <w:sz w:val="20"/>
            </w:rPr>
          </w:pPr>
          <w:r>
            <w:rPr>
              <w:rFonts w:ascii="Arial" w:hAnsi="Arial" w:cs="Arial"/>
              <w:b/>
              <w:noProof/>
              <w:snapToGrid/>
              <w:sz w:val="20"/>
            </w:rPr>
            <w:drawing>
              <wp:inline distT="0" distB="0" distL="0" distR="0" wp14:anchorId="27EDB65F" wp14:editId="657A1DDF">
                <wp:extent cx="1399032" cy="393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rey Scale.jpg"/>
                        <pic:cNvPicPr/>
                      </pic:nvPicPr>
                      <pic:blipFill>
                        <a:blip r:embed="rId1">
                          <a:extLst>
                            <a:ext uri="{28A0092B-C50C-407E-A947-70E740481C1C}">
                              <a14:useLocalDpi xmlns:a14="http://schemas.microsoft.com/office/drawing/2010/main" val="0"/>
                            </a:ext>
                          </a:extLst>
                        </a:blip>
                        <a:stretch>
                          <a:fillRect/>
                        </a:stretch>
                      </pic:blipFill>
                      <pic:spPr>
                        <a:xfrm>
                          <a:off x="0" y="0"/>
                          <a:ext cx="1399032" cy="393192"/>
                        </a:xfrm>
                        <a:prstGeom prst="rect">
                          <a:avLst/>
                        </a:prstGeom>
                      </pic:spPr>
                    </pic:pic>
                  </a:graphicData>
                </a:graphic>
              </wp:inline>
            </w:drawing>
          </w:r>
        </w:p>
        <w:p w:rsidR="00252BCD" w:rsidRPr="006A0458" w:rsidRDefault="00252BCD" w:rsidP="00115D11">
          <w:pPr>
            <w:rPr>
              <w:rFonts w:ascii="Arial" w:hAnsi="Arial" w:cs="Arial"/>
              <w:b/>
              <w:sz w:val="4"/>
              <w:szCs w:val="4"/>
            </w:rPr>
          </w:pPr>
        </w:p>
      </w:tc>
      <w:tc>
        <w:tcPr>
          <w:tcW w:w="5778" w:type="dxa"/>
          <w:gridSpan w:val="3"/>
          <w:vAlign w:val="center"/>
        </w:tcPr>
        <w:p w:rsidR="00252BCD" w:rsidRDefault="00252BCD" w:rsidP="00ED13A9">
          <w:pPr>
            <w:jc w:val="center"/>
            <w:rPr>
              <w:rFonts w:ascii="Arial" w:hAnsi="Arial" w:cs="Arial"/>
              <w:b/>
              <w:sz w:val="20"/>
            </w:rPr>
          </w:pPr>
        </w:p>
        <w:p w:rsidR="00252BCD" w:rsidRPr="006A0458" w:rsidRDefault="00DC5EBD" w:rsidP="00ED13A9">
          <w:pPr>
            <w:jc w:val="center"/>
            <w:rPr>
              <w:rFonts w:asciiTheme="minorHAnsi" w:hAnsiTheme="minorHAnsi" w:cs="Arial"/>
              <w:b/>
              <w:szCs w:val="24"/>
            </w:rPr>
          </w:pPr>
          <w:r>
            <w:rPr>
              <w:rFonts w:asciiTheme="minorHAnsi" w:hAnsiTheme="minorHAnsi" w:cs="Arial"/>
              <w:b/>
              <w:szCs w:val="24"/>
            </w:rPr>
            <w:t>POSTPARTUM HEMORRHAGE (PPH)</w:t>
          </w:r>
        </w:p>
      </w:tc>
    </w:tr>
    <w:tr w:rsidR="00B93FC1" w:rsidTr="00B93FC1">
      <w:tc>
        <w:tcPr>
          <w:tcW w:w="1368" w:type="dxa"/>
        </w:tcPr>
        <w:p w:rsidR="00B93FC1" w:rsidRPr="006A0458" w:rsidRDefault="00B93FC1" w:rsidP="00115D11">
          <w:pPr>
            <w:rPr>
              <w:rFonts w:ascii="Calibri" w:hAnsi="Calibri" w:cs="Arial"/>
              <w:b/>
              <w:sz w:val="22"/>
              <w:szCs w:val="22"/>
            </w:rPr>
          </w:pPr>
          <w:r w:rsidRPr="006A0458">
            <w:rPr>
              <w:rFonts w:ascii="Calibri" w:hAnsi="Calibri" w:cs="Arial"/>
              <w:b/>
              <w:sz w:val="22"/>
              <w:szCs w:val="22"/>
            </w:rPr>
            <w:t>Issued By</w:t>
          </w:r>
        </w:p>
      </w:tc>
      <w:tc>
        <w:tcPr>
          <w:tcW w:w="5130" w:type="dxa"/>
          <w:gridSpan w:val="2"/>
        </w:tcPr>
        <w:p w:rsidR="00B93FC1" w:rsidRPr="006A0458" w:rsidRDefault="00350DCC" w:rsidP="00350DCC">
          <w:pPr>
            <w:rPr>
              <w:rFonts w:ascii="Calibri" w:hAnsi="Calibri" w:cs="Arial"/>
              <w:i/>
              <w:sz w:val="22"/>
              <w:szCs w:val="22"/>
            </w:rPr>
          </w:pPr>
          <w:r>
            <w:rPr>
              <w:rFonts w:ascii="Calibri" w:hAnsi="Calibri" w:cs="Arial"/>
              <w:i/>
              <w:sz w:val="22"/>
              <w:szCs w:val="22"/>
            </w:rPr>
            <w:t xml:space="preserve">MATERNAL CHILD </w:t>
          </w:r>
        </w:p>
      </w:tc>
      <w:tc>
        <w:tcPr>
          <w:tcW w:w="2070" w:type="dxa"/>
        </w:tcPr>
        <w:p w:rsidR="00B93FC1" w:rsidRPr="006A0458" w:rsidRDefault="00B93FC1" w:rsidP="00115D11">
          <w:pPr>
            <w:rPr>
              <w:rFonts w:ascii="Calibri" w:hAnsi="Calibri" w:cs="Arial"/>
              <w:b/>
              <w:sz w:val="22"/>
              <w:szCs w:val="22"/>
            </w:rPr>
          </w:pPr>
          <w:r w:rsidRPr="006A0458">
            <w:rPr>
              <w:rFonts w:ascii="Calibri" w:hAnsi="Calibri" w:cs="Arial"/>
              <w:b/>
              <w:sz w:val="22"/>
              <w:szCs w:val="22"/>
            </w:rPr>
            <w:t>Effective Date</w:t>
          </w:r>
        </w:p>
      </w:tc>
      <w:tc>
        <w:tcPr>
          <w:tcW w:w="1728" w:type="dxa"/>
        </w:tcPr>
        <w:p w:rsidR="00B93FC1" w:rsidRPr="00B93FC1" w:rsidRDefault="00350DCC" w:rsidP="00115D11">
          <w:pPr>
            <w:rPr>
              <w:rFonts w:ascii="Arial" w:hAnsi="Arial" w:cs="Arial"/>
              <w:b/>
              <w:sz w:val="22"/>
              <w:szCs w:val="22"/>
            </w:rPr>
          </w:pPr>
          <w:r>
            <w:rPr>
              <w:rFonts w:ascii="Arial" w:hAnsi="Arial" w:cs="Arial"/>
              <w:b/>
              <w:sz w:val="22"/>
              <w:szCs w:val="22"/>
            </w:rPr>
            <w:t>January 2019</w:t>
          </w:r>
        </w:p>
      </w:tc>
    </w:tr>
    <w:tr w:rsidR="00B93FC1" w:rsidRPr="006A0458" w:rsidTr="00BC062C">
      <w:tc>
        <w:tcPr>
          <w:tcW w:w="1368" w:type="dxa"/>
        </w:tcPr>
        <w:p w:rsidR="00B93FC1" w:rsidRPr="006A0458" w:rsidRDefault="00B93FC1" w:rsidP="00115D11">
          <w:pPr>
            <w:rPr>
              <w:rFonts w:asciiTheme="minorHAnsi" w:hAnsiTheme="minorHAnsi" w:cs="Arial"/>
              <w:b/>
              <w:sz w:val="20"/>
            </w:rPr>
          </w:pPr>
          <w:r w:rsidRPr="006A0458">
            <w:rPr>
              <w:rFonts w:asciiTheme="minorHAnsi" w:hAnsiTheme="minorHAnsi" w:cs="Arial"/>
              <w:b/>
              <w:sz w:val="20"/>
            </w:rPr>
            <w:t>Issue Date</w:t>
          </w:r>
        </w:p>
      </w:tc>
      <w:tc>
        <w:tcPr>
          <w:tcW w:w="3150" w:type="dxa"/>
        </w:tcPr>
        <w:p w:rsidR="00B93FC1" w:rsidRPr="006A0458" w:rsidRDefault="00B93FC1" w:rsidP="00115D11">
          <w:pPr>
            <w:rPr>
              <w:rFonts w:asciiTheme="minorHAnsi" w:hAnsiTheme="minorHAnsi" w:cs="Arial"/>
              <w:i/>
              <w:sz w:val="22"/>
              <w:szCs w:val="22"/>
            </w:rPr>
          </w:pPr>
          <w:r w:rsidRPr="006A0458">
            <w:rPr>
              <w:rFonts w:asciiTheme="minorHAnsi" w:hAnsiTheme="minorHAnsi" w:cs="Arial"/>
              <w:i/>
              <w:sz w:val="22"/>
              <w:szCs w:val="22"/>
            </w:rPr>
            <w:t>Date policy originally issued</w:t>
          </w:r>
        </w:p>
      </w:tc>
      <w:tc>
        <w:tcPr>
          <w:tcW w:w="1980" w:type="dxa"/>
        </w:tcPr>
        <w:p w:rsidR="00B93FC1" w:rsidRPr="006A0458" w:rsidRDefault="00B93FC1" w:rsidP="00115D11">
          <w:pPr>
            <w:rPr>
              <w:rFonts w:asciiTheme="minorHAnsi" w:hAnsiTheme="minorHAnsi" w:cs="Arial"/>
              <w:b/>
              <w:sz w:val="20"/>
            </w:rPr>
          </w:pPr>
          <w:r w:rsidRPr="006A0458">
            <w:rPr>
              <w:rFonts w:asciiTheme="minorHAnsi" w:hAnsiTheme="minorHAnsi" w:cs="Arial"/>
              <w:b/>
              <w:sz w:val="20"/>
            </w:rPr>
            <w:t>Last Review Date</w:t>
          </w:r>
        </w:p>
      </w:tc>
      <w:tc>
        <w:tcPr>
          <w:tcW w:w="2070" w:type="dxa"/>
        </w:tcPr>
        <w:p w:rsidR="00B93FC1" w:rsidRPr="006A0458" w:rsidRDefault="00CF49DE" w:rsidP="00115D11">
          <w:pPr>
            <w:rPr>
              <w:rFonts w:asciiTheme="minorHAnsi" w:hAnsiTheme="minorHAnsi" w:cs="Arial"/>
              <w:b/>
              <w:sz w:val="20"/>
            </w:rPr>
          </w:pPr>
          <w:r>
            <w:rPr>
              <w:rFonts w:asciiTheme="minorHAnsi" w:hAnsiTheme="minorHAnsi" w:cs="Arial"/>
              <w:b/>
              <w:sz w:val="20"/>
            </w:rPr>
            <w:t>April 2018</w:t>
          </w:r>
        </w:p>
      </w:tc>
      <w:tc>
        <w:tcPr>
          <w:tcW w:w="1728" w:type="dxa"/>
        </w:tcPr>
        <w:p w:rsidR="00B93FC1" w:rsidRPr="006A0458" w:rsidRDefault="00B26500" w:rsidP="00115D11">
          <w:pPr>
            <w:rPr>
              <w:rFonts w:asciiTheme="minorHAnsi" w:hAnsiTheme="minorHAnsi" w:cs="Arial"/>
              <w:b/>
              <w:sz w:val="20"/>
            </w:rPr>
          </w:pPr>
          <w:r w:rsidRPr="00B26500">
            <w:rPr>
              <w:rFonts w:asciiTheme="minorHAnsi" w:hAnsiTheme="minorHAnsi" w:cs="Arial"/>
              <w:b/>
              <w:sz w:val="20"/>
            </w:rPr>
            <w:t xml:space="preserve">Page </w:t>
          </w:r>
          <w:r w:rsidRPr="00B26500">
            <w:rPr>
              <w:rFonts w:asciiTheme="minorHAnsi" w:hAnsiTheme="minorHAnsi" w:cs="Arial"/>
              <w:b/>
              <w:bCs/>
              <w:sz w:val="20"/>
            </w:rPr>
            <w:fldChar w:fldCharType="begin"/>
          </w:r>
          <w:r w:rsidRPr="00B26500">
            <w:rPr>
              <w:rFonts w:asciiTheme="minorHAnsi" w:hAnsiTheme="minorHAnsi" w:cs="Arial"/>
              <w:b/>
              <w:bCs/>
              <w:sz w:val="20"/>
            </w:rPr>
            <w:instrText xml:space="preserve"> PAGE  \* Arabic  \* MERGEFORMAT </w:instrText>
          </w:r>
          <w:r w:rsidRPr="00B26500">
            <w:rPr>
              <w:rFonts w:asciiTheme="minorHAnsi" w:hAnsiTheme="minorHAnsi" w:cs="Arial"/>
              <w:b/>
              <w:bCs/>
              <w:sz w:val="20"/>
            </w:rPr>
            <w:fldChar w:fldCharType="separate"/>
          </w:r>
          <w:r w:rsidR="00785731">
            <w:rPr>
              <w:rFonts w:asciiTheme="minorHAnsi" w:hAnsiTheme="minorHAnsi" w:cs="Arial"/>
              <w:b/>
              <w:bCs/>
              <w:noProof/>
              <w:sz w:val="20"/>
            </w:rPr>
            <w:t>1</w:t>
          </w:r>
          <w:r w:rsidRPr="00B26500">
            <w:rPr>
              <w:rFonts w:asciiTheme="minorHAnsi" w:hAnsiTheme="minorHAnsi" w:cs="Arial"/>
              <w:b/>
              <w:bCs/>
              <w:sz w:val="20"/>
            </w:rPr>
            <w:fldChar w:fldCharType="end"/>
          </w:r>
          <w:r w:rsidRPr="00B26500">
            <w:rPr>
              <w:rFonts w:asciiTheme="minorHAnsi" w:hAnsiTheme="minorHAnsi" w:cs="Arial"/>
              <w:b/>
              <w:sz w:val="20"/>
            </w:rPr>
            <w:t xml:space="preserve"> of </w:t>
          </w:r>
          <w:r w:rsidRPr="00B26500">
            <w:rPr>
              <w:rFonts w:asciiTheme="minorHAnsi" w:hAnsiTheme="minorHAnsi" w:cs="Arial"/>
              <w:b/>
              <w:bCs/>
              <w:sz w:val="20"/>
            </w:rPr>
            <w:fldChar w:fldCharType="begin"/>
          </w:r>
          <w:r w:rsidRPr="00B26500">
            <w:rPr>
              <w:rFonts w:asciiTheme="minorHAnsi" w:hAnsiTheme="minorHAnsi" w:cs="Arial"/>
              <w:b/>
              <w:bCs/>
              <w:sz w:val="20"/>
            </w:rPr>
            <w:instrText xml:space="preserve"> NUMPAGES  \* Arabic  \* MERGEFORMAT </w:instrText>
          </w:r>
          <w:r w:rsidRPr="00B26500">
            <w:rPr>
              <w:rFonts w:asciiTheme="minorHAnsi" w:hAnsiTheme="minorHAnsi" w:cs="Arial"/>
              <w:b/>
              <w:bCs/>
              <w:sz w:val="20"/>
            </w:rPr>
            <w:fldChar w:fldCharType="separate"/>
          </w:r>
          <w:r w:rsidR="00785731">
            <w:rPr>
              <w:rFonts w:asciiTheme="minorHAnsi" w:hAnsiTheme="minorHAnsi" w:cs="Arial"/>
              <w:b/>
              <w:bCs/>
              <w:noProof/>
              <w:sz w:val="20"/>
            </w:rPr>
            <w:t>5</w:t>
          </w:r>
          <w:r w:rsidRPr="00B26500">
            <w:rPr>
              <w:rFonts w:asciiTheme="minorHAnsi" w:hAnsiTheme="minorHAnsi" w:cs="Arial"/>
              <w:b/>
              <w:bCs/>
              <w:sz w:val="20"/>
            </w:rPr>
            <w:fldChar w:fldCharType="end"/>
          </w:r>
        </w:p>
      </w:tc>
    </w:tr>
  </w:tbl>
  <w:p w:rsidR="00E911B3" w:rsidRPr="006A0458" w:rsidRDefault="00E911B3">
    <w:pPr>
      <w:pStyle w:val="Header"/>
      <w:rPr>
        <w:rFonts w:asciiTheme="minorHAnsi" w:hAnsiTheme="minorHAns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F9B"/>
    <w:multiLevelType w:val="hybridMultilevel"/>
    <w:tmpl w:val="47EA29B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37C59B7"/>
    <w:multiLevelType w:val="singleLevel"/>
    <w:tmpl w:val="382C624A"/>
    <w:lvl w:ilvl="0">
      <w:start w:val="1"/>
      <w:numFmt w:val="decimal"/>
      <w:lvlText w:val="%1."/>
      <w:lvlJc w:val="left"/>
      <w:pPr>
        <w:tabs>
          <w:tab w:val="num" w:pos="360"/>
        </w:tabs>
        <w:ind w:left="360" w:hanging="360"/>
      </w:pPr>
      <w:rPr>
        <w:rFonts w:hint="default"/>
      </w:rPr>
    </w:lvl>
  </w:abstractNum>
  <w:abstractNum w:abstractNumId="2" w15:restartNumberingAfterBreak="0">
    <w:nsid w:val="085F55EB"/>
    <w:multiLevelType w:val="hybridMultilevel"/>
    <w:tmpl w:val="D1869EB6"/>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A064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356950"/>
    <w:multiLevelType w:val="hybridMultilevel"/>
    <w:tmpl w:val="EB98C2F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108617D2"/>
    <w:multiLevelType w:val="hybridMultilevel"/>
    <w:tmpl w:val="0486D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0CA3ADB"/>
    <w:multiLevelType w:val="hybridMultilevel"/>
    <w:tmpl w:val="52BA2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188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A83B59"/>
    <w:multiLevelType w:val="hybridMultilevel"/>
    <w:tmpl w:val="F348AB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E9240F"/>
    <w:multiLevelType w:val="multilevel"/>
    <w:tmpl w:val="15DCF40E"/>
    <w:lvl w:ilvl="0">
      <w:start w:val="8"/>
      <w:numFmt w:val="decimal"/>
      <w:lvlText w:val="%1.0"/>
      <w:lvlJc w:val="left"/>
      <w:pPr>
        <w:tabs>
          <w:tab w:val="num" w:pos="1440"/>
        </w:tabs>
        <w:ind w:left="1440" w:hanging="720"/>
      </w:pPr>
      <w:rPr>
        <w:rFonts w:hint="default"/>
        <w:i w:val="0"/>
      </w:rPr>
    </w:lvl>
    <w:lvl w:ilvl="1">
      <w:start w:val="1"/>
      <w:numFmt w:val="decimal"/>
      <w:lvlText w:val="%1.%2"/>
      <w:lvlJc w:val="left"/>
      <w:pPr>
        <w:tabs>
          <w:tab w:val="num" w:pos="2160"/>
        </w:tabs>
        <w:ind w:left="2160" w:hanging="720"/>
      </w:pPr>
      <w:rPr>
        <w:rFonts w:hint="default"/>
        <w:i w:val="0"/>
      </w:rPr>
    </w:lvl>
    <w:lvl w:ilvl="2">
      <w:start w:val="1"/>
      <w:numFmt w:val="decimal"/>
      <w:lvlText w:val="%1.%2.%3"/>
      <w:lvlJc w:val="left"/>
      <w:pPr>
        <w:tabs>
          <w:tab w:val="num" w:pos="2880"/>
        </w:tabs>
        <w:ind w:left="2880" w:hanging="720"/>
      </w:pPr>
      <w:rPr>
        <w:rFonts w:hint="default"/>
        <w:i w:val="0"/>
      </w:rPr>
    </w:lvl>
    <w:lvl w:ilvl="3">
      <w:start w:val="1"/>
      <w:numFmt w:val="decimal"/>
      <w:lvlText w:val="%1.%2.%3.%4"/>
      <w:lvlJc w:val="left"/>
      <w:pPr>
        <w:tabs>
          <w:tab w:val="num" w:pos="3600"/>
        </w:tabs>
        <w:ind w:left="3600" w:hanging="720"/>
      </w:pPr>
      <w:rPr>
        <w:rFonts w:hint="default"/>
        <w:i w:val="0"/>
      </w:rPr>
    </w:lvl>
    <w:lvl w:ilvl="4">
      <w:start w:val="1"/>
      <w:numFmt w:val="decimal"/>
      <w:lvlText w:val="%1.%2.%3.%4.%5"/>
      <w:lvlJc w:val="left"/>
      <w:pPr>
        <w:tabs>
          <w:tab w:val="num" w:pos="4680"/>
        </w:tabs>
        <w:ind w:left="4680" w:hanging="1080"/>
      </w:pPr>
      <w:rPr>
        <w:rFonts w:hint="default"/>
        <w:i w:val="0"/>
      </w:rPr>
    </w:lvl>
    <w:lvl w:ilvl="5">
      <w:start w:val="1"/>
      <w:numFmt w:val="decimal"/>
      <w:lvlText w:val="%1.%2.%3.%4.%5.%6"/>
      <w:lvlJc w:val="left"/>
      <w:pPr>
        <w:tabs>
          <w:tab w:val="num" w:pos="5400"/>
        </w:tabs>
        <w:ind w:left="5400" w:hanging="1080"/>
      </w:pPr>
      <w:rPr>
        <w:rFonts w:hint="default"/>
        <w:i w:val="0"/>
      </w:rPr>
    </w:lvl>
    <w:lvl w:ilvl="6">
      <w:start w:val="1"/>
      <w:numFmt w:val="decimal"/>
      <w:lvlText w:val="%1.%2.%3.%4.%5.%6.%7"/>
      <w:lvlJc w:val="left"/>
      <w:pPr>
        <w:tabs>
          <w:tab w:val="num" w:pos="6480"/>
        </w:tabs>
        <w:ind w:left="6480" w:hanging="1440"/>
      </w:pPr>
      <w:rPr>
        <w:rFonts w:hint="default"/>
        <w:i w:val="0"/>
      </w:rPr>
    </w:lvl>
    <w:lvl w:ilvl="7">
      <w:start w:val="1"/>
      <w:numFmt w:val="decimal"/>
      <w:lvlText w:val="%1.%2.%3.%4.%5.%6.%7.%8"/>
      <w:lvlJc w:val="left"/>
      <w:pPr>
        <w:tabs>
          <w:tab w:val="num" w:pos="7200"/>
        </w:tabs>
        <w:ind w:left="7200" w:hanging="1440"/>
      </w:pPr>
      <w:rPr>
        <w:rFonts w:hint="default"/>
        <w:i w:val="0"/>
      </w:rPr>
    </w:lvl>
    <w:lvl w:ilvl="8">
      <w:start w:val="1"/>
      <w:numFmt w:val="decimal"/>
      <w:lvlText w:val="%1.%2.%3.%4.%5.%6.%7.%8.%9"/>
      <w:lvlJc w:val="left"/>
      <w:pPr>
        <w:tabs>
          <w:tab w:val="num" w:pos="7920"/>
        </w:tabs>
        <w:ind w:left="7920" w:hanging="1440"/>
      </w:pPr>
      <w:rPr>
        <w:rFonts w:hint="default"/>
        <w:i w:val="0"/>
      </w:rPr>
    </w:lvl>
  </w:abstractNum>
  <w:abstractNum w:abstractNumId="10" w15:restartNumberingAfterBreak="0">
    <w:nsid w:val="25FF64DD"/>
    <w:multiLevelType w:val="multilevel"/>
    <w:tmpl w:val="7092F30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921057C"/>
    <w:multiLevelType w:val="multilevel"/>
    <w:tmpl w:val="76D65F52"/>
    <w:lvl w:ilvl="0">
      <w:start w:val="5"/>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D9F584F"/>
    <w:multiLevelType w:val="hybridMultilevel"/>
    <w:tmpl w:val="1DC46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094D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6F51CF"/>
    <w:multiLevelType w:val="hybridMultilevel"/>
    <w:tmpl w:val="5FEECA3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71252"/>
    <w:multiLevelType w:val="hybridMultilevel"/>
    <w:tmpl w:val="0B400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F178F7"/>
    <w:multiLevelType w:val="hybridMultilevel"/>
    <w:tmpl w:val="E662F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BC55B0"/>
    <w:multiLevelType w:val="hybridMultilevel"/>
    <w:tmpl w:val="FF005B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01E7EA3"/>
    <w:multiLevelType w:val="hybridMultilevel"/>
    <w:tmpl w:val="17D80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4C501A2"/>
    <w:multiLevelType w:val="hybridMultilevel"/>
    <w:tmpl w:val="C3A40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F2E36"/>
    <w:multiLevelType w:val="multilevel"/>
    <w:tmpl w:val="0D8E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75B95"/>
    <w:multiLevelType w:val="hybridMultilevel"/>
    <w:tmpl w:val="33ACD7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DD5E96"/>
    <w:multiLevelType w:val="multilevel"/>
    <w:tmpl w:val="B5BC756E"/>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3" w15:restartNumberingAfterBreak="0">
    <w:nsid w:val="59C76C73"/>
    <w:multiLevelType w:val="hybridMultilevel"/>
    <w:tmpl w:val="697636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D2B1649"/>
    <w:multiLevelType w:val="hybridMultilevel"/>
    <w:tmpl w:val="6A2A30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0282318"/>
    <w:multiLevelType w:val="hybridMultilevel"/>
    <w:tmpl w:val="18E0C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57C0C86"/>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6"/>
  </w:num>
  <w:num w:numId="3">
    <w:abstractNumId w:val="7"/>
  </w:num>
  <w:num w:numId="4">
    <w:abstractNumId w:val="3"/>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5"/>
  </w:num>
  <w:num w:numId="9">
    <w:abstractNumId w:val="15"/>
  </w:num>
  <w:num w:numId="10">
    <w:abstractNumId w:val="6"/>
  </w:num>
  <w:num w:numId="11">
    <w:abstractNumId w:val="16"/>
  </w:num>
  <w:num w:numId="12">
    <w:abstractNumId w:val="19"/>
  </w:num>
  <w:num w:numId="13">
    <w:abstractNumId w:val="11"/>
  </w:num>
  <w:num w:numId="14">
    <w:abstractNumId w:val="24"/>
  </w:num>
  <w:num w:numId="15">
    <w:abstractNumId w:val="8"/>
  </w:num>
  <w:num w:numId="16">
    <w:abstractNumId w:val="12"/>
  </w:num>
  <w:num w:numId="17">
    <w:abstractNumId w:val="17"/>
  </w:num>
  <w:num w:numId="18">
    <w:abstractNumId w:val="18"/>
  </w:num>
  <w:num w:numId="19">
    <w:abstractNumId w:val="23"/>
  </w:num>
  <w:num w:numId="20">
    <w:abstractNumId w:val="21"/>
  </w:num>
  <w:num w:numId="21">
    <w:abstractNumId w:val="22"/>
  </w:num>
  <w:num w:numId="22">
    <w:abstractNumId w:val="14"/>
  </w:num>
  <w:num w:numId="23">
    <w:abstractNumId w:val="2"/>
  </w:num>
  <w:num w:numId="24">
    <w:abstractNumId w:val="0"/>
  </w:num>
  <w:num w:numId="25">
    <w:abstractNumId w:val="4"/>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8"/>
    <w:rsid w:val="00062E6C"/>
    <w:rsid w:val="000662BB"/>
    <w:rsid w:val="000D4C99"/>
    <w:rsid w:val="000E54DD"/>
    <w:rsid w:val="00115D11"/>
    <w:rsid w:val="00193CDC"/>
    <w:rsid w:val="001A2BBF"/>
    <w:rsid w:val="001E1388"/>
    <w:rsid w:val="00205AEE"/>
    <w:rsid w:val="002231E9"/>
    <w:rsid w:val="00230791"/>
    <w:rsid w:val="00252BCD"/>
    <w:rsid w:val="002C1CB2"/>
    <w:rsid w:val="002D2B33"/>
    <w:rsid w:val="002D6A4A"/>
    <w:rsid w:val="002F281B"/>
    <w:rsid w:val="00350DCC"/>
    <w:rsid w:val="00365865"/>
    <w:rsid w:val="00392212"/>
    <w:rsid w:val="003B1DA4"/>
    <w:rsid w:val="003C0875"/>
    <w:rsid w:val="003E0EE9"/>
    <w:rsid w:val="00446369"/>
    <w:rsid w:val="00447C4F"/>
    <w:rsid w:val="004842D2"/>
    <w:rsid w:val="004A5639"/>
    <w:rsid w:val="004C2C84"/>
    <w:rsid w:val="00502192"/>
    <w:rsid w:val="00503417"/>
    <w:rsid w:val="00516286"/>
    <w:rsid w:val="00516591"/>
    <w:rsid w:val="005661FA"/>
    <w:rsid w:val="00584193"/>
    <w:rsid w:val="005D52A0"/>
    <w:rsid w:val="005F6888"/>
    <w:rsid w:val="00623852"/>
    <w:rsid w:val="0064490E"/>
    <w:rsid w:val="006A0458"/>
    <w:rsid w:val="006A541A"/>
    <w:rsid w:val="006C5677"/>
    <w:rsid w:val="007414C3"/>
    <w:rsid w:val="00757BAA"/>
    <w:rsid w:val="007803FD"/>
    <w:rsid w:val="00785731"/>
    <w:rsid w:val="007903EE"/>
    <w:rsid w:val="007A3CE6"/>
    <w:rsid w:val="007B7625"/>
    <w:rsid w:val="007C5ED9"/>
    <w:rsid w:val="007E051F"/>
    <w:rsid w:val="00800F24"/>
    <w:rsid w:val="00807C88"/>
    <w:rsid w:val="0082408B"/>
    <w:rsid w:val="008648DB"/>
    <w:rsid w:val="00895F8A"/>
    <w:rsid w:val="008A6FEF"/>
    <w:rsid w:val="008C59D7"/>
    <w:rsid w:val="008E64CC"/>
    <w:rsid w:val="009B0B31"/>
    <w:rsid w:val="009B4E30"/>
    <w:rsid w:val="009C04CB"/>
    <w:rsid w:val="009F0A41"/>
    <w:rsid w:val="00A06ADF"/>
    <w:rsid w:val="00A15345"/>
    <w:rsid w:val="00A27BB8"/>
    <w:rsid w:val="00A53A17"/>
    <w:rsid w:val="00A614A1"/>
    <w:rsid w:val="00A6375B"/>
    <w:rsid w:val="00A86997"/>
    <w:rsid w:val="00AA693C"/>
    <w:rsid w:val="00AB302E"/>
    <w:rsid w:val="00AF7A1A"/>
    <w:rsid w:val="00B068A3"/>
    <w:rsid w:val="00B20796"/>
    <w:rsid w:val="00B26500"/>
    <w:rsid w:val="00B731DD"/>
    <w:rsid w:val="00B93FC1"/>
    <w:rsid w:val="00BC062C"/>
    <w:rsid w:val="00BE41E0"/>
    <w:rsid w:val="00BE4239"/>
    <w:rsid w:val="00C01809"/>
    <w:rsid w:val="00C05362"/>
    <w:rsid w:val="00C16105"/>
    <w:rsid w:val="00C2649D"/>
    <w:rsid w:val="00C67E79"/>
    <w:rsid w:val="00CC142D"/>
    <w:rsid w:val="00CF49DE"/>
    <w:rsid w:val="00D02978"/>
    <w:rsid w:val="00D733E9"/>
    <w:rsid w:val="00D87561"/>
    <w:rsid w:val="00D9175B"/>
    <w:rsid w:val="00DB37F6"/>
    <w:rsid w:val="00DC3AA3"/>
    <w:rsid w:val="00DC5EBD"/>
    <w:rsid w:val="00DD1EC8"/>
    <w:rsid w:val="00DD6B34"/>
    <w:rsid w:val="00DE71FC"/>
    <w:rsid w:val="00E13061"/>
    <w:rsid w:val="00E37B79"/>
    <w:rsid w:val="00E662D4"/>
    <w:rsid w:val="00E76ABD"/>
    <w:rsid w:val="00E8687E"/>
    <w:rsid w:val="00E911B3"/>
    <w:rsid w:val="00EA52DC"/>
    <w:rsid w:val="00EC2545"/>
    <w:rsid w:val="00ED13A9"/>
    <w:rsid w:val="00ED4102"/>
    <w:rsid w:val="00EE41F5"/>
    <w:rsid w:val="00EE6B87"/>
    <w:rsid w:val="00F14B66"/>
    <w:rsid w:val="00F276BF"/>
    <w:rsid w:val="00F41131"/>
    <w:rsid w:val="00F5551B"/>
    <w:rsid w:val="00F8151B"/>
    <w:rsid w:val="00FB4C31"/>
    <w:rsid w:val="00FC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41BB3D-00F8-405B-954B-4969E1F5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AA"/>
    <w:pPr>
      <w:widowControl w:val="0"/>
    </w:pPr>
    <w:rPr>
      <w:rFonts w:ascii="Courier New" w:hAnsi="Courier New"/>
      <w:snapToGrid w:val="0"/>
      <w:sz w:val="24"/>
    </w:rPr>
  </w:style>
  <w:style w:type="paragraph" w:styleId="Heading2">
    <w:name w:val="heading 2"/>
    <w:basedOn w:val="Normal"/>
    <w:next w:val="Normal"/>
    <w:qFormat/>
    <w:rsid w:val="00757BAA"/>
    <w:pPr>
      <w:keepNext/>
      <w:outlineLvl w:val="1"/>
    </w:pPr>
    <w:rPr>
      <w:rFonts w:ascii="Times New Roman" w:hAnsi="Times New Roman"/>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EC8"/>
    <w:pPr>
      <w:tabs>
        <w:tab w:val="center" w:pos="4320"/>
        <w:tab w:val="right" w:pos="8640"/>
      </w:tabs>
    </w:pPr>
  </w:style>
  <w:style w:type="paragraph" w:styleId="Footer">
    <w:name w:val="footer"/>
    <w:basedOn w:val="Normal"/>
    <w:rsid w:val="00DD1EC8"/>
    <w:pPr>
      <w:tabs>
        <w:tab w:val="center" w:pos="4320"/>
        <w:tab w:val="right" w:pos="8640"/>
      </w:tabs>
    </w:pPr>
  </w:style>
  <w:style w:type="table" w:styleId="TableGrid">
    <w:name w:val="Table Grid"/>
    <w:basedOn w:val="TableNormal"/>
    <w:rsid w:val="00DD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E30"/>
  </w:style>
  <w:style w:type="paragraph" w:styleId="BodyTextIndent">
    <w:name w:val="Body Text Indent"/>
    <w:basedOn w:val="Normal"/>
    <w:rsid w:val="00800F24"/>
    <w:pPr>
      <w:widowControl/>
      <w:ind w:left="360"/>
    </w:pPr>
    <w:rPr>
      <w:rFonts w:ascii="Times New Roman" w:hAnsi="Times New Roman"/>
      <w:snapToGrid/>
      <w:lang w:val="en-CA"/>
    </w:rPr>
  </w:style>
  <w:style w:type="paragraph" w:styleId="BalloonText">
    <w:name w:val="Balloon Text"/>
    <w:basedOn w:val="Normal"/>
    <w:link w:val="BalloonTextChar"/>
    <w:rsid w:val="00807C88"/>
    <w:rPr>
      <w:rFonts w:ascii="Tahoma" w:hAnsi="Tahoma" w:cs="Tahoma"/>
      <w:sz w:val="16"/>
      <w:szCs w:val="16"/>
    </w:rPr>
  </w:style>
  <w:style w:type="character" w:customStyle="1" w:styleId="BalloonTextChar">
    <w:name w:val="Balloon Text Char"/>
    <w:basedOn w:val="DefaultParagraphFont"/>
    <w:link w:val="BalloonText"/>
    <w:rsid w:val="00807C88"/>
    <w:rPr>
      <w:rFonts w:ascii="Tahoma" w:hAnsi="Tahoma" w:cs="Tahoma"/>
      <w:snapToGrid w:val="0"/>
      <w:sz w:val="16"/>
      <w:szCs w:val="16"/>
    </w:rPr>
  </w:style>
  <w:style w:type="paragraph" w:styleId="ListParagraph">
    <w:name w:val="List Paragraph"/>
    <w:basedOn w:val="Normal"/>
    <w:uiPriority w:val="34"/>
    <w:qFormat/>
    <w:rsid w:val="00CF49DE"/>
    <w:pPr>
      <w:ind w:left="720"/>
      <w:contextualSpacing/>
    </w:pPr>
  </w:style>
  <w:style w:type="character" w:customStyle="1" w:styleId="e24kjd">
    <w:name w:val="e24kjd"/>
    <w:basedOn w:val="DefaultParagraphFont"/>
    <w:rsid w:val="0044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1314">
      <w:bodyDiv w:val="1"/>
      <w:marLeft w:val="0"/>
      <w:marRight w:val="0"/>
      <w:marTop w:val="0"/>
      <w:marBottom w:val="0"/>
      <w:divBdr>
        <w:top w:val="none" w:sz="0" w:space="0" w:color="auto"/>
        <w:left w:val="none" w:sz="0" w:space="0" w:color="auto"/>
        <w:bottom w:val="none" w:sz="0" w:space="0" w:color="auto"/>
        <w:right w:val="none" w:sz="0" w:space="0" w:color="auto"/>
      </w:divBdr>
      <w:divsChild>
        <w:div w:id="624459342">
          <w:marLeft w:val="0"/>
          <w:marRight w:val="0"/>
          <w:marTop w:val="0"/>
          <w:marBottom w:val="0"/>
          <w:divBdr>
            <w:top w:val="none" w:sz="0" w:space="0" w:color="auto"/>
            <w:left w:val="none" w:sz="0" w:space="0" w:color="auto"/>
            <w:bottom w:val="none" w:sz="0" w:space="0" w:color="auto"/>
            <w:right w:val="none" w:sz="0" w:space="0" w:color="auto"/>
          </w:divBdr>
          <w:divsChild>
            <w:div w:id="1081023334">
              <w:marLeft w:val="0"/>
              <w:marRight w:val="0"/>
              <w:marTop w:val="0"/>
              <w:marBottom w:val="0"/>
              <w:divBdr>
                <w:top w:val="none" w:sz="0" w:space="0" w:color="auto"/>
                <w:left w:val="none" w:sz="0" w:space="0" w:color="auto"/>
                <w:bottom w:val="none" w:sz="0" w:space="0" w:color="auto"/>
                <w:right w:val="none" w:sz="0" w:space="0" w:color="auto"/>
              </w:divBdr>
              <w:divsChild>
                <w:div w:id="1799755826">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0"/>
                          <w:marRight w:val="0"/>
                          <w:marTop w:val="0"/>
                          <w:marBottom w:val="0"/>
                          <w:divBdr>
                            <w:top w:val="none" w:sz="0" w:space="0" w:color="auto"/>
                            <w:left w:val="none" w:sz="0" w:space="0" w:color="auto"/>
                            <w:bottom w:val="none" w:sz="0" w:space="0" w:color="auto"/>
                            <w:right w:val="none" w:sz="0" w:space="0" w:color="auto"/>
                          </w:divBdr>
                          <w:divsChild>
                            <w:div w:id="1413816593">
                              <w:marLeft w:val="2070"/>
                              <w:marRight w:val="3960"/>
                              <w:marTop w:val="0"/>
                              <w:marBottom w:val="0"/>
                              <w:divBdr>
                                <w:top w:val="none" w:sz="0" w:space="0" w:color="auto"/>
                                <w:left w:val="none" w:sz="0" w:space="0" w:color="auto"/>
                                <w:bottom w:val="none" w:sz="0" w:space="0" w:color="auto"/>
                                <w:right w:val="none" w:sz="0" w:space="0" w:color="auto"/>
                              </w:divBdr>
                              <w:divsChild>
                                <w:div w:id="1260524097">
                                  <w:marLeft w:val="0"/>
                                  <w:marRight w:val="0"/>
                                  <w:marTop w:val="0"/>
                                  <w:marBottom w:val="0"/>
                                  <w:divBdr>
                                    <w:top w:val="none" w:sz="0" w:space="0" w:color="auto"/>
                                    <w:left w:val="none" w:sz="0" w:space="0" w:color="auto"/>
                                    <w:bottom w:val="none" w:sz="0" w:space="0" w:color="auto"/>
                                    <w:right w:val="none" w:sz="0" w:space="0" w:color="auto"/>
                                  </w:divBdr>
                                  <w:divsChild>
                                    <w:div w:id="1998193763">
                                      <w:marLeft w:val="0"/>
                                      <w:marRight w:val="0"/>
                                      <w:marTop w:val="0"/>
                                      <w:marBottom w:val="0"/>
                                      <w:divBdr>
                                        <w:top w:val="none" w:sz="0" w:space="0" w:color="auto"/>
                                        <w:left w:val="none" w:sz="0" w:space="0" w:color="auto"/>
                                        <w:bottom w:val="none" w:sz="0" w:space="0" w:color="auto"/>
                                        <w:right w:val="none" w:sz="0" w:space="0" w:color="auto"/>
                                      </w:divBdr>
                                      <w:divsChild>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90"/>
                                              <w:marBottom w:val="0"/>
                                              <w:divBdr>
                                                <w:top w:val="none" w:sz="0" w:space="0" w:color="auto"/>
                                                <w:left w:val="none" w:sz="0" w:space="0" w:color="auto"/>
                                                <w:bottom w:val="none" w:sz="0" w:space="0" w:color="auto"/>
                                                <w:right w:val="none" w:sz="0" w:space="0" w:color="auto"/>
                                              </w:divBdr>
                                              <w:divsChild>
                                                <w:div w:id="2084525671">
                                                  <w:marLeft w:val="0"/>
                                                  <w:marRight w:val="0"/>
                                                  <w:marTop w:val="0"/>
                                                  <w:marBottom w:val="0"/>
                                                  <w:divBdr>
                                                    <w:top w:val="none" w:sz="0" w:space="0" w:color="auto"/>
                                                    <w:left w:val="none" w:sz="0" w:space="0" w:color="auto"/>
                                                    <w:bottom w:val="none" w:sz="0" w:space="0" w:color="auto"/>
                                                    <w:right w:val="none" w:sz="0" w:space="0" w:color="auto"/>
                                                  </w:divBdr>
                                                  <w:divsChild>
                                                    <w:div w:id="1216771434">
                                                      <w:marLeft w:val="0"/>
                                                      <w:marRight w:val="0"/>
                                                      <w:marTop w:val="0"/>
                                                      <w:marBottom w:val="0"/>
                                                      <w:divBdr>
                                                        <w:top w:val="none" w:sz="0" w:space="0" w:color="auto"/>
                                                        <w:left w:val="none" w:sz="0" w:space="0" w:color="auto"/>
                                                        <w:bottom w:val="none" w:sz="0" w:space="0" w:color="auto"/>
                                                        <w:right w:val="none" w:sz="0" w:space="0" w:color="auto"/>
                                                      </w:divBdr>
                                                      <w:divsChild>
                                                        <w:div w:id="1240940764">
                                                          <w:marLeft w:val="0"/>
                                                          <w:marRight w:val="0"/>
                                                          <w:marTop w:val="0"/>
                                                          <w:marBottom w:val="390"/>
                                                          <w:divBdr>
                                                            <w:top w:val="none" w:sz="0" w:space="0" w:color="auto"/>
                                                            <w:left w:val="none" w:sz="0" w:space="0" w:color="auto"/>
                                                            <w:bottom w:val="none" w:sz="0" w:space="0" w:color="auto"/>
                                                            <w:right w:val="none" w:sz="0" w:space="0" w:color="auto"/>
                                                          </w:divBdr>
                                                          <w:divsChild>
                                                            <w:div w:id="663167207">
                                                              <w:marLeft w:val="0"/>
                                                              <w:marRight w:val="0"/>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1084766024">
                                                                      <w:marLeft w:val="0"/>
                                                                      <w:marRight w:val="0"/>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0"/>
                                                                          <w:divBdr>
                                                                            <w:top w:val="none" w:sz="0" w:space="0" w:color="auto"/>
                                                                            <w:left w:val="none" w:sz="0" w:space="0" w:color="auto"/>
                                                                            <w:bottom w:val="none" w:sz="0" w:space="0" w:color="auto"/>
                                                                            <w:right w:val="none" w:sz="0" w:space="0" w:color="auto"/>
                                                                          </w:divBdr>
                                                                          <w:divsChild>
                                                                            <w:div w:id="1782454797">
                                                                              <w:marLeft w:val="0"/>
                                                                              <w:marRight w:val="0"/>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0"/>
                                                                                      <w:marRight w:val="0"/>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0"/>
                                                                                          <w:divBdr>
                                                                                            <w:top w:val="none" w:sz="0" w:space="0" w:color="auto"/>
                                                                                            <w:left w:val="none" w:sz="0" w:space="0" w:color="auto"/>
                                                                                            <w:bottom w:val="none" w:sz="0" w:space="0" w:color="auto"/>
                                                                                            <w:right w:val="none" w:sz="0" w:space="0" w:color="auto"/>
                                                                                          </w:divBdr>
                                                                                          <w:divsChild>
                                                                                            <w:div w:id="954992379">
                                                                                              <w:marLeft w:val="0"/>
                                                                                              <w:marRight w:val="0"/>
                                                                                              <w:marTop w:val="0"/>
                                                                                              <w:marBottom w:val="0"/>
                                                                                              <w:divBdr>
                                                                                                <w:top w:val="none" w:sz="0" w:space="0" w:color="auto"/>
                                                                                                <w:left w:val="none" w:sz="0" w:space="0" w:color="auto"/>
                                                                                                <w:bottom w:val="none" w:sz="0" w:space="0" w:color="auto"/>
                                                                                                <w:right w:val="none" w:sz="0" w:space="0" w:color="auto"/>
                                                                                              </w:divBdr>
                                                                                              <w:divsChild>
                                                                                                <w:div w:id="722682586">
                                                                                                  <w:marLeft w:val="0"/>
                                                                                                  <w:marRight w:val="0"/>
                                                                                                  <w:marTop w:val="0"/>
                                                                                                  <w:marBottom w:val="0"/>
                                                                                                  <w:divBdr>
                                                                                                    <w:top w:val="none" w:sz="0" w:space="0" w:color="auto"/>
                                                                                                    <w:left w:val="none" w:sz="0" w:space="0" w:color="auto"/>
                                                                                                    <w:bottom w:val="none" w:sz="0" w:space="0" w:color="auto"/>
                                                                                                    <w:right w:val="none" w:sz="0" w:space="0" w:color="auto"/>
                                                                                                  </w:divBdr>
                                                                                                  <w:divsChild>
                                                                                                    <w:div w:id="1967468899">
                                                                                                      <w:marLeft w:val="0"/>
                                                                                                      <w:marRight w:val="0"/>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0"/>
                                                                                                          <w:divBdr>
                                                                                                            <w:top w:val="none" w:sz="0" w:space="0" w:color="auto"/>
                                                                                                            <w:left w:val="none" w:sz="0" w:space="0" w:color="auto"/>
                                                                                                            <w:bottom w:val="none" w:sz="0" w:space="0" w:color="auto"/>
                                                                                                            <w:right w:val="none" w:sz="0" w:space="0" w:color="auto"/>
                                                                                                          </w:divBdr>
                                                                                                          <w:divsChild>
                                                                                                            <w:div w:id="1199975486">
                                                                                                              <w:marLeft w:val="0"/>
                                                                                                              <w:marRight w:val="0"/>
                                                                                                              <w:marTop w:val="0"/>
                                                                                                              <w:marBottom w:val="0"/>
                                                                                                              <w:divBdr>
                                                                                                                <w:top w:val="none" w:sz="0" w:space="0" w:color="auto"/>
                                                                                                                <w:left w:val="none" w:sz="0" w:space="0" w:color="auto"/>
                                                                                                                <w:bottom w:val="none" w:sz="0" w:space="0" w:color="auto"/>
                                                                                                                <w:right w:val="none" w:sz="0" w:space="0" w:color="auto"/>
                                                                                                              </w:divBdr>
                                                                                                              <w:divsChild>
                                                                                                                <w:div w:id="2080056184">
                                                                                                                  <w:marLeft w:val="300"/>
                                                                                                                  <w:marRight w:val="0"/>
                                                                                                                  <w:marTop w:val="0"/>
                                                                                                                  <w:marBottom w:val="0"/>
                                                                                                                  <w:divBdr>
                                                                                                                    <w:top w:val="none" w:sz="0" w:space="0" w:color="auto"/>
                                                                                                                    <w:left w:val="none" w:sz="0" w:space="0" w:color="auto"/>
                                                                                                                    <w:bottom w:val="none" w:sz="0" w:space="0" w:color="auto"/>
                                                                                                                    <w:right w:val="none" w:sz="0" w:space="0" w:color="auto"/>
                                                                                                                  </w:divBdr>
                                                                                                                  <w:divsChild>
                                                                                                                    <w:div w:id="71241252">
                                                                                                                      <w:marLeft w:val="-30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wkclass1</dc:creator>
  <cp:lastModifiedBy>Al, Holly</cp:lastModifiedBy>
  <cp:revision>2</cp:revision>
  <cp:lastPrinted>2019-01-24T15:43:00Z</cp:lastPrinted>
  <dcterms:created xsi:type="dcterms:W3CDTF">2021-03-10T16:32:00Z</dcterms:created>
  <dcterms:modified xsi:type="dcterms:W3CDTF">2021-03-10T16:32:00Z</dcterms:modified>
</cp:coreProperties>
</file>