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93C" w:rsidRDefault="008229C8" w:rsidP="001C0337">
      <w:pPr>
        <w:tabs>
          <w:tab w:val="left" w:pos="1128"/>
        </w:tabs>
        <w:spacing w:after="0" w:line="240" w:lineRule="auto"/>
        <w:rPr>
          <w:rFonts w:ascii="Calibri" w:hAnsi="Calibri"/>
          <w:szCs w:val="24"/>
        </w:rPr>
      </w:pPr>
      <w:bookmarkStart w:id="0" w:name="_GoBack"/>
      <w:bookmarkEnd w:id="0"/>
      <w:r w:rsidRPr="00412F6C">
        <w:rPr>
          <w:rStyle w:val="Heading1Char"/>
        </w:rPr>
        <w:t>POLICY STATEMENT</w:t>
      </w:r>
      <w:r w:rsidRPr="00124A79">
        <w:rPr>
          <w:rFonts w:ascii="Calibri" w:hAnsi="Calibri"/>
          <w:sz w:val="28"/>
          <w:szCs w:val="26"/>
        </w:rPr>
        <w:t xml:space="preserve"> </w:t>
      </w:r>
    </w:p>
    <w:p w:rsidR="00E153BE" w:rsidRPr="00E153BE" w:rsidRDefault="00E153BE" w:rsidP="00E153BE">
      <w:pPr>
        <w:spacing w:after="0" w:line="240" w:lineRule="auto"/>
        <w:rPr>
          <w:rFonts w:ascii="Calibri" w:hAnsi="Calibri"/>
          <w:szCs w:val="24"/>
        </w:rPr>
      </w:pPr>
      <w:r w:rsidRPr="00E153BE">
        <w:rPr>
          <w:rFonts w:ascii="Calibri" w:hAnsi="Calibri"/>
          <w:szCs w:val="24"/>
        </w:rPr>
        <w:t>The discharging unit/hospital will manage the process to loan patients/families equipment that is not accessible from any other source if it will facilitate a timely discharge of the patient from hospital.  The patient and/or POA accepts full responsibility and liability for the transportation and timely return of the equipment in its original condition and assumes costs for any repairs, damage or loss of the device during the lending period.</w:t>
      </w:r>
    </w:p>
    <w:p w:rsidR="00E153BE" w:rsidRPr="00E153BE" w:rsidRDefault="00E153BE" w:rsidP="00E153BE">
      <w:pPr>
        <w:spacing w:after="0" w:line="240" w:lineRule="auto"/>
        <w:rPr>
          <w:rFonts w:ascii="Calibri" w:hAnsi="Calibri"/>
          <w:szCs w:val="24"/>
        </w:rPr>
      </w:pPr>
    </w:p>
    <w:p w:rsidR="005801A7" w:rsidRPr="005801A7" w:rsidRDefault="008229C8" w:rsidP="001C0337">
      <w:pPr>
        <w:tabs>
          <w:tab w:val="left" w:pos="1128"/>
        </w:tabs>
        <w:spacing w:after="0" w:line="240" w:lineRule="auto"/>
        <w:rPr>
          <w:rFonts w:ascii="Calibri" w:hAnsi="Calibri"/>
          <w:szCs w:val="24"/>
        </w:rPr>
      </w:pPr>
      <w:r w:rsidRPr="00412F6C">
        <w:rPr>
          <w:rStyle w:val="Heading1Char"/>
        </w:rPr>
        <w:t>APPLICATION</w:t>
      </w:r>
      <w:r w:rsidR="005801A7" w:rsidRPr="00F61236">
        <w:rPr>
          <w:rStyle w:val="Heading1Char"/>
          <w:i/>
        </w:rPr>
        <w:t xml:space="preserve"> </w:t>
      </w:r>
    </w:p>
    <w:p w:rsidR="00A27EA4" w:rsidRDefault="008229C8" w:rsidP="00A27EA4">
      <w:pPr>
        <w:spacing w:after="0" w:line="240" w:lineRule="auto"/>
        <w:rPr>
          <w:spacing w:val="-1"/>
          <w:szCs w:val="24"/>
          <w:lang w:val="en-GB"/>
        </w:rPr>
      </w:pPr>
      <w:r w:rsidRPr="00976331">
        <w:rPr>
          <w:spacing w:val="-1"/>
          <w:szCs w:val="24"/>
          <w:lang w:val="en-GB"/>
        </w:rPr>
        <w:t xml:space="preserve">This policy applies to all GBHS staff, physicians and volunteers.  </w:t>
      </w:r>
    </w:p>
    <w:p w:rsidR="008229C8" w:rsidRDefault="008229C8" w:rsidP="00CE5EDA">
      <w:pPr>
        <w:spacing w:after="0" w:line="240" w:lineRule="auto"/>
        <w:rPr>
          <w:rStyle w:val="Heading1Char"/>
        </w:rPr>
      </w:pPr>
      <w:r w:rsidRPr="00675860">
        <w:rPr>
          <w:sz w:val="28"/>
        </w:rPr>
        <w:br/>
      </w:r>
      <w:r w:rsidRPr="00D77E56">
        <w:rPr>
          <w:rStyle w:val="Heading1Char"/>
        </w:rPr>
        <w:t>PROCEDURE</w:t>
      </w:r>
    </w:p>
    <w:p w:rsidR="00E153BE" w:rsidRDefault="00E153BE" w:rsidP="00CE5EDA">
      <w:pPr>
        <w:spacing w:after="0" w:line="240" w:lineRule="auto"/>
        <w:rPr>
          <w:rStyle w:val="Heading1Char"/>
        </w:rPr>
      </w:pPr>
    </w:p>
    <w:p w:rsidR="00E153BE" w:rsidRPr="00E153BE" w:rsidRDefault="00E153BE" w:rsidP="00E153BE">
      <w:pPr>
        <w:numPr>
          <w:ilvl w:val="0"/>
          <w:numId w:val="28"/>
        </w:numPr>
        <w:spacing w:after="0" w:line="240" w:lineRule="auto"/>
        <w:contextualSpacing/>
        <w:rPr>
          <w:rFonts w:ascii="Calibri" w:hAnsi="Calibri"/>
          <w:szCs w:val="24"/>
        </w:rPr>
      </w:pPr>
      <w:r>
        <w:rPr>
          <w:rFonts w:ascii="Calibri" w:hAnsi="Calibri"/>
          <w:szCs w:val="24"/>
        </w:rPr>
        <w:t>Staff member identifies the patient</w:t>
      </w:r>
      <w:r w:rsidRPr="00E153BE">
        <w:rPr>
          <w:rFonts w:ascii="Calibri" w:hAnsi="Calibri"/>
          <w:szCs w:val="24"/>
        </w:rPr>
        <w:t xml:space="preserve"> need </w:t>
      </w:r>
      <w:r>
        <w:rPr>
          <w:rFonts w:ascii="Calibri" w:hAnsi="Calibri"/>
          <w:szCs w:val="24"/>
        </w:rPr>
        <w:t xml:space="preserve">for </w:t>
      </w:r>
      <w:r w:rsidRPr="00E153BE">
        <w:rPr>
          <w:rFonts w:ascii="Calibri" w:hAnsi="Calibri"/>
          <w:szCs w:val="24"/>
        </w:rPr>
        <w:t xml:space="preserve">the device </w:t>
      </w:r>
      <w:r>
        <w:rPr>
          <w:rFonts w:ascii="Calibri" w:hAnsi="Calibri"/>
          <w:szCs w:val="24"/>
        </w:rPr>
        <w:t>to facilitate discharge</w:t>
      </w:r>
      <w:r w:rsidRPr="00E153BE">
        <w:rPr>
          <w:rFonts w:ascii="Calibri" w:hAnsi="Calibri"/>
          <w:szCs w:val="24"/>
        </w:rPr>
        <w:t>.  Note: Voyageur provides wheelchairs for patients transfers between hospitals or to patients home, unless equipment is highly specialized.</w:t>
      </w:r>
    </w:p>
    <w:p w:rsidR="00E153BE" w:rsidRPr="00E153BE" w:rsidRDefault="00E153BE" w:rsidP="00E153BE">
      <w:pPr>
        <w:spacing w:after="0" w:line="240" w:lineRule="auto"/>
        <w:rPr>
          <w:rFonts w:ascii="Calibri" w:hAnsi="Calibri"/>
          <w:szCs w:val="24"/>
        </w:rPr>
      </w:pPr>
    </w:p>
    <w:p w:rsidR="00E153BE" w:rsidRPr="00E153BE" w:rsidRDefault="00E153BE" w:rsidP="00E153BE">
      <w:pPr>
        <w:numPr>
          <w:ilvl w:val="0"/>
          <w:numId w:val="28"/>
        </w:numPr>
        <w:spacing w:after="0" w:line="240" w:lineRule="auto"/>
        <w:rPr>
          <w:rFonts w:ascii="Calibri" w:hAnsi="Calibri"/>
          <w:szCs w:val="24"/>
        </w:rPr>
      </w:pPr>
      <w:r w:rsidRPr="00E153BE">
        <w:rPr>
          <w:rFonts w:ascii="Calibri" w:hAnsi="Calibri"/>
          <w:szCs w:val="24"/>
        </w:rPr>
        <w:t>The lending unit is responsible for completing the Wheelchair/Walker Loan Agreement (Form # misc-85).  Two copies are needed.  One goes with the equipment (patient); the second is retained by</w:t>
      </w:r>
      <w:r w:rsidR="00453F36">
        <w:rPr>
          <w:rFonts w:ascii="Calibri" w:hAnsi="Calibri"/>
          <w:szCs w:val="24"/>
        </w:rPr>
        <w:t xml:space="preserve"> the physio team of</w:t>
      </w:r>
      <w:r w:rsidRPr="00E153BE">
        <w:rPr>
          <w:rFonts w:ascii="Calibri" w:hAnsi="Calibri"/>
          <w:szCs w:val="24"/>
        </w:rPr>
        <w:t xml:space="preserve"> the discharging unit/hospital.</w:t>
      </w:r>
    </w:p>
    <w:p w:rsidR="00E153BE" w:rsidRPr="00E153BE" w:rsidRDefault="00E153BE" w:rsidP="00E153BE">
      <w:pPr>
        <w:spacing w:after="0" w:line="240" w:lineRule="auto"/>
        <w:rPr>
          <w:rFonts w:ascii="Calibri" w:hAnsi="Calibri"/>
          <w:szCs w:val="24"/>
        </w:rPr>
      </w:pPr>
    </w:p>
    <w:p w:rsidR="00E153BE" w:rsidRPr="00E153BE" w:rsidRDefault="00E153BE" w:rsidP="00E153BE">
      <w:pPr>
        <w:numPr>
          <w:ilvl w:val="0"/>
          <w:numId w:val="28"/>
        </w:numPr>
        <w:spacing w:after="0" w:line="240" w:lineRule="auto"/>
        <w:rPr>
          <w:rFonts w:ascii="Calibri" w:hAnsi="Calibri"/>
          <w:szCs w:val="24"/>
        </w:rPr>
      </w:pPr>
      <w:r w:rsidRPr="00E153BE">
        <w:rPr>
          <w:rFonts w:ascii="Calibri" w:hAnsi="Calibri"/>
          <w:szCs w:val="24"/>
        </w:rPr>
        <w:t xml:space="preserve">Both parties hold a copy of this form until the device is returned in its original condition.   </w:t>
      </w:r>
    </w:p>
    <w:p w:rsidR="00E153BE" w:rsidRPr="00E153BE" w:rsidRDefault="00E153BE" w:rsidP="00E153BE">
      <w:pPr>
        <w:spacing w:after="0" w:line="240" w:lineRule="auto"/>
        <w:ind w:left="720"/>
        <w:contextualSpacing/>
        <w:rPr>
          <w:rFonts w:ascii="Calibri" w:hAnsi="Calibri"/>
          <w:szCs w:val="24"/>
        </w:rPr>
      </w:pPr>
    </w:p>
    <w:p w:rsidR="00E153BE" w:rsidRPr="00E153BE" w:rsidRDefault="00E153BE" w:rsidP="00E153BE">
      <w:pPr>
        <w:numPr>
          <w:ilvl w:val="0"/>
          <w:numId w:val="28"/>
        </w:numPr>
        <w:spacing w:after="0" w:line="240" w:lineRule="auto"/>
        <w:rPr>
          <w:rFonts w:ascii="Calibri" w:hAnsi="Calibri"/>
          <w:szCs w:val="24"/>
        </w:rPr>
      </w:pPr>
      <w:r>
        <w:rPr>
          <w:rFonts w:ascii="Calibri" w:hAnsi="Calibri"/>
          <w:szCs w:val="24"/>
        </w:rPr>
        <w:t xml:space="preserve">The PTA/OTA completes an </w:t>
      </w:r>
      <w:proofErr w:type="spellStart"/>
      <w:r w:rsidRPr="00E153BE">
        <w:rPr>
          <w:rFonts w:ascii="Calibri" w:hAnsi="Calibri"/>
          <w:szCs w:val="24"/>
        </w:rPr>
        <w:t>Easynet</w:t>
      </w:r>
      <w:proofErr w:type="spellEnd"/>
      <w:r w:rsidRPr="00E153BE">
        <w:rPr>
          <w:rFonts w:ascii="Calibri" w:hAnsi="Calibri"/>
          <w:szCs w:val="24"/>
        </w:rPr>
        <w:t xml:space="preserve"> requisition upon return of the equipment and Engineering performs their inspection/cleaning before returning to the GBHS patient care unit.</w:t>
      </w:r>
    </w:p>
    <w:p w:rsidR="00E153BE" w:rsidRPr="00E153BE" w:rsidRDefault="00E153BE" w:rsidP="00E153BE">
      <w:pPr>
        <w:spacing w:after="0" w:line="240" w:lineRule="auto"/>
        <w:rPr>
          <w:rFonts w:ascii="Calibri" w:hAnsi="Calibri"/>
          <w:szCs w:val="24"/>
        </w:rPr>
      </w:pPr>
    </w:p>
    <w:p w:rsidR="00E153BE" w:rsidRPr="00E153BE" w:rsidRDefault="00E153BE" w:rsidP="00E153BE">
      <w:pPr>
        <w:spacing w:after="0" w:line="240" w:lineRule="auto"/>
        <w:rPr>
          <w:rFonts w:ascii="Calibri" w:hAnsi="Calibri"/>
          <w:szCs w:val="24"/>
        </w:rPr>
      </w:pPr>
      <w:r w:rsidRPr="00E153BE">
        <w:rPr>
          <w:rFonts w:ascii="Calibri" w:hAnsi="Calibri"/>
          <w:szCs w:val="24"/>
        </w:rPr>
        <w:t xml:space="preserve">Examples of devices </w:t>
      </w:r>
      <w:r>
        <w:rPr>
          <w:rFonts w:ascii="Calibri" w:hAnsi="Calibri"/>
          <w:szCs w:val="24"/>
        </w:rPr>
        <w:t>that</w:t>
      </w:r>
      <w:r w:rsidRPr="00E153BE">
        <w:rPr>
          <w:rFonts w:ascii="Calibri" w:hAnsi="Calibri"/>
          <w:szCs w:val="24"/>
        </w:rPr>
        <w:t xml:space="preserve"> are typically lent:</w:t>
      </w:r>
    </w:p>
    <w:p w:rsidR="00E153BE" w:rsidRPr="00E153BE" w:rsidRDefault="00E153BE" w:rsidP="00E153BE">
      <w:pPr>
        <w:numPr>
          <w:ilvl w:val="0"/>
          <w:numId w:val="27"/>
        </w:numPr>
        <w:spacing w:after="0" w:line="240" w:lineRule="auto"/>
        <w:rPr>
          <w:rFonts w:ascii="Calibri" w:hAnsi="Calibri"/>
          <w:szCs w:val="24"/>
        </w:rPr>
      </w:pPr>
      <w:r w:rsidRPr="00E153BE">
        <w:rPr>
          <w:rFonts w:ascii="Calibri" w:hAnsi="Calibri"/>
          <w:szCs w:val="24"/>
        </w:rPr>
        <w:t>Wheelchair</w:t>
      </w:r>
    </w:p>
    <w:p w:rsidR="00E153BE" w:rsidRPr="00E153BE" w:rsidRDefault="00E153BE" w:rsidP="00E153BE">
      <w:pPr>
        <w:numPr>
          <w:ilvl w:val="0"/>
          <w:numId w:val="27"/>
        </w:numPr>
        <w:spacing w:after="0" w:line="240" w:lineRule="auto"/>
        <w:rPr>
          <w:rFonts w:ascii="Calibri" w:hAnsi="Calibri"/>
          <w:szCs w:val="24"/>
        </w:rPr>
      </w:pPr>
      <w:r w:rsidRPr="00E153BE">
        <w:rPr>
          <w:rFonts w:ascii="Calibri" w:hAnsi="Calibri"/>
          <w:szCs w:val="24"/>
        </w:rPr>
        <w:t xml:space="preserve">Standard or </w:t>
      </w:r>
      <w:proofErr w:type="spellStart"/>
      <w:r w:rsidRPr="00E153BE">
        <w:rPr>
          <w:rFonts w:ascii="Calibri" w:hAnsi="Calibri"/>
          <w:szCs w:val="24"/>
        </w:rPr>
        <w:t>rollator</w:t>
      </w:r>
      <w:proofErr w:type="spellEnd"/>
      <w:r w:rsidRPr="00E153BE">
        <w:rPr>
          <w:rFonts w:ascii="Calibri" w:hAnsi="Calibri"/>
          <w:szCs w:val="24"/>
        </w:rPr>
        <w:t xml:space="preserve"> walker </w:t>
      </w:r>
    </w:p>
    <w:p w:rsidR="00E153BE" w:rsidRPr="005801A7" w:rsidRDefault="00E153BE" w:rsidP="00CE5EDA">
      <w:pPr>
        <w:spacing w:after="0" w:line="240" w:lineRule="auto"/>
        <w:rPr>
          <w:rFonts w:ascii="Calibri" w:hAnsi="Calibri"/>
          <w:i/>
          <w:spacing w:val="-1"/>
          <w:szCs w:val="24"/>
          <w:lang w:val="en-GB"/>
        </w:rPr>
      </w:pPr>
    </w:p>
    <w:sectPr w:rsidR="00E153BE" w:rsidRPr="005801A7" w:rsidSect="00DC0833">
      <w:headerReference w:type="default" r:id="rId7"/>
      <w:pgSz w:w="12240" w:h="15840"/>
      <w:pgMar w:top="1008" w:right="1710" w:bottom="1008" w:left="1710" w:header="990" w:footer="7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9C9" w:rsidRDefault="00D259C9" w:rsidP="00124A79">
      <w:pPr>
        <w:spacing w:after="0" w:line="240" w:lineRule="auto"/>
      </w:pPr>
      <w:r>
        <w:separator/>
      </w:r>
    </w:p>
  </w:endnote>
  <w:endnote w:type="continuationSeparator" w:id="0">
    <w:p w:rsidR="00D259C9" w:rsidRDefault="00D259C9" w:rsidP="0012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9C9" w:rsidRDefault="00D259C9" w:rsidP="00124A79">
      <w:pPr>
        <w:spacing w:after="0" w:line="240" w:lineRule="auto"/>
      </w:pPr>
      <w:r>
        <w:separator/>
      </w:r>
    </w:p>
  </w:footnote>
  <w:footnote w:type="continuationSeparator" w:id="0">
    <w:p w:rsidR="00D259C9" w:rsidRDefault="00D259C9" w:rsidP="00124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90"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620"/>
      <w:gridCol w:w="3600"/>
      <w:gridCol w:w="1800"/>
      <w:gridCol w:w="2070"/>
    </w:tblGrid>
    <w:tr w:rsidR="00A62DD3" w:rsidRPr="00124A79" w:rsidTr="008B2D0B">
      <w:trPr>
        <w:trHeight w:val="623"/>
      </w:trPr>
      <w:tc>
        <w:tcPr>
          <w:tcW w:w="1620" w:type="dxa"/>
          <w:shd w:val="clear" w:color="auto" w:fill="D9D9D9" w:themeFill="background1" w:themeFillShade="D9"/>
          <w:vAlign w:val="center"/>
        </w:tcPr>
        <w:p w:rsidR="00A62DD3" w:rsidRPr="00A62DD3" w:rsidRDefault="00A62DD3" w:rsidP="0018382F">
          <w:pPr>
            <w:spacing w:after="0" w:line="240" w:lineRule="auto"/>
            <w:ind w:left="-15" w:right="-104"/>
            <w:rPr>
              <w:rFonts w:ascii="Calibri" w:hAnsi="Calibri"/>
              <w:b/>
              <w:szCs w:val="24"/>
            </w:rPr>
          </w:pPr>
          <w:r w:rsidRPr="008229C8">
            <w:rPr>
              <w:rFonts w:ascii="Calibri" w:hAnsi="Calibri"/>
              <w:b/>
              <w:szCs w:val="24"/>
            </w:rPr>
            <w:t>Title:</w:t>
          </w:r>
        </w:p>
      </w:tc>
      <w:tc>
        <w:tcPr>
          <w:tcW w:w="7470" w:type="dxa"/>
          <w:gridSpan w:val="3"/>
          <w:shd w:val="clear" w:color="auto" w:fill="auto"/>
          <w:vAlign w:val="center"/>
        </w:tcPr>
        <w:p w:rsidR="00A62DD3" w:rsidRPr="00A62DD3" w:rsidRDefault="00A866F4" w:rsidP="00E153BE">
          <w:pPr>
            <w:spacing w:after="0" w:line="240" w:lineRule="auto"/>
            <w:ind w:right="-104"/>
            <w:rPr>
              <w:rFonts w:ascii="Calibri" w:hAnsi="Calibri"/>
              <w:b/>
              <w:i/>
              <w:szCs w:val="24"/>
            </w:rPr>
          </w:pPr>
          <w:r w:rsidRPr="00A62DD3">
            <w:rPr>
              <w:rFonts w:ascii="Calibri" w:hAnsi="Calibri"/>
              <w:b/>
              <w:i/>
              <w:noProof/>
              <w:szCs w:val="24"/>
            </w:rPr>
            <w:drawing>
              <wp:anchor distT="0" distB="0" distL="114300" distR="114300" simplePos="0" relativeHeight="251660288" behindDoc="1" locked="0" layoutInCell="1" allowOverlap="1" wp14:anchorId="38263540" wp14:editId="2CD5B1F1">
                <wp:simplePos x="0" y="0"/>
                <wp:positionH relativeFrom="column">
                  <wp:posOffset>3491230</wp:posOffset>
                </wp:positionH>
                <wp:positionV relativeFrom="paragraph">
                  <wp:posOffset>6985</wp:posOffset>
                </wp:positionV>
                <wp:extent cx="1118235" cy="385445"/>
                <wp:effectExtent l="0" t="0" r="5715" b="0"/>
                <wp:wrapThrough wrapText="bothSides">
                  <wp:wrapPolygon edited="0">
                    <wp:start x="0" y="0"/>
                    <wp:lineTo x="0" y="20283"/>
                    <wp:lineTo x="21342" y="20283"/>
                    <wp:lineTo x="21342"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HS logo without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235" cy="385445"/>
                        </a:xfrm>
                        <a:prstGeom prst="rect">
                          <a:avLst/>
                        </a:prstGeom>
                      </pic:spPr>
                    </pic:pic>
                  </a:graphicData>
                </a:graphic>
                <wp14:sizeRelH relativeFrom="page">
                  <wp14:pctWidth>0</wp14:pctWidth>
                </wp14:sizeRelH>
                <wp14:sizeRelV relativeFrom="page">
                  <wp14:pctHeight>0</wp14:pctHeight>
                </wp14:sizeRelV>
              </wp:anchor>
            </w:drawing>
          </w:r>
          <w:r w:rsidR="00A62DD3" w:rsidRPr="00A62DD3">
            <w:rPr>
              <w:rFonts w:ascii="Calibri" w:hAnsi="Calibri"/>
              <w:b/>
              <w:sz w:val="10"/>
              <w:szCs w:val="24"/>
            </w:rPr>
            <w:br/>
          </w:r>
          <w:r w:rsidR="00E153BE">
            <w:rPr>
              <w:rFonts w:ascii="Calibri" w:hAnsi="Calibri"/>
              <w:b/>
              <w:i/>
              <w:sz w:val="28"/>
              <w:szCs w:val="24"/>
            </w:rPr>
            <w:t>Loan of Wheelchairs/Walkers to Patients</w:t>
          </w:r>
        </w:p>
      </w:tc>
    </w:tr>
    <w:tr w:rsidR="00AA3B83" w:rsidRPr="00124A79" w:rsidTr="008B2D0B">
      <w:trPr>
        <w:trHeight w:val="350"/>
      </w:trPr>
      <w:tc>
        <w:tcPr>
          <w:tcW w:w="1620" w:type="dxa"/>
          <w:shd w:val="clear" w:color="auto" w:fill="D9D9D9" w:themeFill="background1" w:themeFillShade="D9"/>
          <w:vAlign w:val="center"/>
        </w:tcPr>
        <w:p w:rsidR="00AA3B83" w:rsidRPr="008229C8" w:rsidRDefault="00AA3B83" w:rsidP="0018382F">
          <w:pPr>
            <w:spacing w:after="0" w:line="240" w:lineRule="auto"/>
            <w:rPr>
              <w:rFonts w:ascii="Calibri" w:hAnsi="Calibri"/>
              <w:szCs w:val="24"/>
            </w:rPr>
          </w:pPr>
          <w:r w:rsidRPr="008229C8">
            <w:rPr>
              <w:rFonts w:ascii="Calibri" w:hAnsi="Calibri"/>
              <w:b/>
              <w:szCs w:val="24"/>
            </w:rPr>
            <w:t>Category:</w:t>
          </w:r>
          <w:r w:rsidRPr="008229C8">
            <w:rPr>
              <w:rFonts w:ascii="Calibri" w:hAnsi="Calibri"/>
              <w:szCs w:val="24"/>
            </w:rPr>
            <w:t xml:space="preserve"> </w:t>
          </w:r>
        </w:p>
      </w:tc>
      <w:tc>
        <w:tcPr>
          <w:tcW w:w="3600" w:type="dxa"/>
          <w:shd w:val="clear" w:color="auto" w:fill="auto"/>
          <w:vAlign w:val="center"/>
        </w:tcPr>
        <w:p w:rsidR="00AA3B83" w:rsidRPr="00B73B48" w:rsidRDefault="00A27EA4" w:rsidP="00A27EA4">
          <w:pPr>
            <w:spacing w:after="0" w:line="240" w:lineRule="auto"/>
            <w:rPr>
              <w:rFonts w:ascii="Calibri" w:hAnsi="Calibri"/>
              <w:i/>
              <w:szCs w:val="24"/>
            </w:rPr>
          </w:pPr>
          <w:r>
            <w:rPr>
              <w:rFonts w:ascii="Calibri" w:hAnsi="Calibri"/>
              <w:i/>
              <w:szCs w:val="24"/>
            </w:rPr>
            <w:t>Professional Practice</w:t>
          </w:r>
        </w:p>
      </w:tc>
      <w:tc>
        <w:tcPr>
          <w:tcW w:w="1800" w:type="dxa"/>
          <w:shd w:val="clear" w:color="auto" w:fill="D9D9D9" w:themeFill="background1" w:themeFillShade="D9"/>
          <w:vAlign w:val="center"/>
        </w:tcPr>
        <w:p w:rsidR="00AA3B83" w:rsidRPr="008229C8" w:rsidRDefault="00AA3B83" w:rsidP="0018382F">
          <w:pPr>
            <w:spacing w:after="0" w:line="240" w:lineRule="auto"/>
            <w:rPr>
              <w:rFonts w:ascii="Calibri" w:hAnsi="Calibri"/>
              <w:szCs w:val="24"/>
            </w:rPr>
          </w:pPr>
          <w:r>
            <w:rPr>
              <w:rFonts w:ascii="Calibri" w:hAnsi="Calibri"/>
              <w:b/>
              <w:szCs w:val="24"/>
            </w:rPr>
            <w:t xml:space="preserve">Policy </w:t>
          </w:r>
          <w:r w:rsidRPr="008229C8">
            <w:rPr>
              <w:rFonts w:ascii="Calibri" w:hAnsi="Calibri"/>
              <w:b/>
              <w:szCs w:val="24"/>
            </w:rPr>
            <w:t>Number:</w:t>
          </w:r>
          <w:r w:rsidRPr="008229C8">
            <w:rPr>
              <w:rFonts w:ascii="Calibri" w:hAnsi="Calibri"/>
              <w:szCs w:val="24"/>
            </w:rPr>
            <w:t xml:space="preserve"> </w:t>
          </w:r>
        </w:p>
      </w:tc>
      <w:tc>
        <w:tcPr>
          <w:tcW w:w="2070" w:type="dxa"/>
          <w:vAlign w:val="center"/>
        </w:tcPr>
        <w:p w:rsidR="00AA3B83" w:rsidRPr="00B73B48" w:rsidRDefault="00A27EA4" w:rsidP="00E153BE">
          <w:pPr>
            <w:spacing w:after="0" w:line="240" w:lineRule="auto"/>
            <w:rPr>
              <w:rFonts w:ascii="Calibri" w:hAnsi="Calibri"/>
              <w:i/>
              <w:szCs w:val="24"/>
            </w:rPr>
          </w:pPr>
          <w:r>
            <w:rPr>
              <w:rFonts w:ascii="Calibri" w:hAnsi="Calibri"/>
              <w:i/>
              <w:szCs w:val="24"/>
            </w:rPr>
            <w:t>PPC-</w:t>
          </w:r>
          <w:r w:rsidR="00E153BE">
            <w:rPr>
              <w:rFonts w:ascii="Calibri" w:hAnsi="Calibri"/>
              <w:i/>
              <w:szCs w:val="24"/>
            </w:rPr>
            <w:t>210</w:t>
          </w:r>
        </w:p>
      </w:tc>
    </w:tr>
    <w:tr w:rsidR="00B84A13" w:rsidRPr="00124A79" w:rsidTr="008B2D0B">
      <w:trPr>
        <w:trHeight w:val="333"/>
      </w:trPr>
      <w:tc>
        <w:tcPr>
          <w:tcW w:w="1620" w:type="dxa"/>
          <w:shd w:val="clear" w:color="auto" w:fill="D9D9D9" w:themeFill="background1" w:themeFillShade="D9"/>
          <w:vAlign w:val="center"/>
        </w:tcPr>
        <w:p w:rsidR="00B84A13" w:rsidRPr="008229C8" w:rsidRDefault="008229C8" w:rsidP="0018382F">
          <w:pPr>
            <w:spacing w:after="0" w:line="240" w:lineRule="auto"/>
            <w:rPr>
              <w:rFonts w:ascii="Calibri" w:hAnsi="Calibri"/>
              <w:szCs w:val="24"/>
            </w:rPr>
          </w:pPr>
          <w:r>
            <w:rPr>
              <w:rFonts w:ascii="Calibri" w:hAnsi="Calibri"/>
              <w:b/>
              <w:szCs w:val="24"/>
            </w:rPr>
            <w:t>Sub-C</w:t>
          </w:r>
          <w:r w:rsidRPr="008229C8">
            <w:rPr>
              <w:rFonts w:ascii="Calibri" w:hAnsi="Calibri"/>
              <w:b/>
              <w:szCs w:val="24"/>
            </w:rPr>
            <w:t>ategory:</w:t>
          </w:r>
          <w:r w:rsidR="00B84A13" w:rsidRPr="008229C8">
            <w:rPr>
              <w:rFonts w:ascii="Calibri" w:hAnsi="Calibri"/>
              <w:szCs w:val="24"/>
            </w:rPr>
            <w:t xml:space="preserve"> </w:t>
          </w:r>
        </w:p>
      </w:tc>
      <w:tc>
        <w:tcPr>
          <w:tcW w:w="3600" w:type="dxa"/>
          <w:shd w:val="clear" w:color="auto" w:fill="auto"/>
          <w:vAlign w:val="center"/>
        </w:tcPr>
        <w:p w:rsidR="00B84A13" w:rsidRPr="00B73B48" w:rsidRDefault="00A27EA4" w:rsidP="00A27EA4">
          <w:pPr>
            <w:spacing w:after="0" w:line="240" w:lineRule="auto"/>
            <w:rPr>
              <w:rFonts w:ascii="Calibri" w:hAnsi="Calibri"/>
              <w:i/>
              <w:szCs w:val="24"/>
            </w:rPr>
          </w:pPr>
          <w:r>
            <w:rPr>
              <w:rFonts w:ascii="Calibri" w:hAnsi="Calibri"/>
              <w:i/>
              <w:szCs w:val="24"/>
            </w:rPr>
            <w:t>Patient Care</w:t>
          </w:r>
        </w:p>
      </w:tc>
      <w:tc>
        <w:tcPr>
          <w:tcW w:w="1800" w:type="dxa"/>
          <w:shd w:val="clear" w:color="auto" w:fill="D9D9D9" w:themeFill="background1" w:themeFillShade="D9"/>
          <w:vAlign w:val="center"/>
        </w:tcPr>
        <w:p w:rsidR="00B84A13" w:rsidRPr="008229C8" w:rsidRDefault="00AA3B83" w:rsidP="0018382F">
          <w:pPr>
            <w:spacing w:after="0" w:line="240" w:lineRule="auto"/>
            <w:rPr>
              <w:rFonts w:ascii="Calibri" w:hAnsi="Calibri"/>
              <w:szCs w:val="24"/>
            </w:rPr>
          </w:pPr>
          <w:r w:rsidRPr="008229C8">
            <w:rPr>
              <w:rFonts w:ascii="Calibri" w:hAnsi="Calibri"/>
              <w:b/>
              <w:szCs w:val="24"/>
            </w:rPr>
            <w:t>Page</w:t>
          </w:r>
          <w:r>
            <w:rPr>
              <w:rFonts w:ascii="Calibri" w:hAnsi="Calibri"/>
              <w:b/>
              <w:szCs w:val="24"/>
            </w:rPr>
            <w:t>s</w:t>
          </w:r>
          <w:r w:rsidRPr="008229C8">
            <w:rPr>
              <w:rFonts w:ascii="Calibri" w:hAnsi="Calibri"/>
              <w:b/>
              <w:szCs w:val="24"/>
            </w:rPr>
            <w:t>:</w:t>
          </w:r>
        </w:p>
      </w:tc>
      <w:tc>
        <w:tcPr>
          <w:tcW w:w="2070" w:type="dxa"/>
          <w:vAlign w:val="center"/>
        </w:tcPr>
        <w:p w:rsidR="00B84A13" w:rsidRPr="00B73B48" w:rsidRDefault="00AA3B83" w:rsidP="005801A7">
          <w:pPr>
            <w:spacing w:after="0" w:line="240" w:lineRule="auto"/>
            <w:rPr>
              <w:rFonts w:ascii="Calibri" w:hAnsi="Calibri"/>
              <w:szCs w:val="24"/>
            </w:rPr>
          </w:pPr>
          <w:r w:rsidRPr="00B73B48">
            <w:rPr>
              <w:rFonts w:ascii="Calibri" w:hAnsi="Calibri"/>
              <w:szCs w:val="24"/>
            </w:rPr>
            <w:t xml:space="preserve">Page </w:t>
          </w:r>
          <w:r w:rsidRPr="00B73B48">
            <w:rPr>
              <w:rFonts w:ascii="Calibri" w:hAnsi="Calibri"/>
              <w:b/>
              <w:bCs/>
              <w:szCs w:val="24"/>
            </w:rPr>
            <w:fldChar w:fldCharType="begin"/>
          </w:r>
          <w:r w:rsidRPr="00B73B48">
            <w:rPr>
              <w:rFonts w:ascii="Calibri" w:hAnsi="Calibri"/>
              <w:b/>
              <w:bCs/>
              <w:szCs w:val="24"/>
            </w:rPr>
            <w:instrText xml:space="preserve"> PAGE  \* Arabic  \* MERGEFORMAT </w:instrText>
          </w:r>
          <w:r w:rsidRPr="00B73B48">
            <w:rPr>
              <w:rFonts w:ascii="Calibri" w:hAnsi="Calibri"/>
              <w:b/>
              <w:bCs/>
              <w:szCs w:val="24"/>
            </w:rPr>
            <w:fldChar w:fldCharType="separate"/>
          </w:r>
          <w:r w:rsidR="001C310F">
            <w:rPr>
              <w:rFonts w:ascii="Calibri" w:hAnsi="Calibri"/>
              <w:b/>
              <w:bCs/>
              <w:noProof/>
              <w:szCs w:val="24"/>
            </w:rPr>
            <w:t>1</w:t>
          </w:r>
          <w:r w:rsidRPr="00B73B48">
            <w:rPr>
              <w:rFonts w:ascii="Calibri" w:hAnsi="Calibri"/>
              <w:b/>
              <w:bCs/>
              <w:szCs w:val="24"/>
            </w:rPr>
            <w:fldChar w:fldCharType="end"/>
          </w:r>
          <w:r w:rsidRPr="00B73B48">
            <w:rPr>
              <w:rFonts w:ascii="Calibri" w:hAnsi="Calibri"/>
              <w:szCs w:val="24"/>
            </w:rPr>
            <w:t xml:space="preserve"> of </w:t>
          </w:r>
          <w:r w:rsidRPr="00B73B48">
            <w:rPr>
              <w:rFonts w:ascii="Calibri" w:hAnsi="Calibri"/>
              <w:b/>
              <w:bCs/>
              <w:szCs w:val="24"/>
            </w:rPr>
            <w:fldChar w:fldCharType="begin"/>
          </w:r>
          <w:r w:rsidRPr="00B73B48">
            <w:rPr>
              <w:rFonts w:ascii="Calibri" w:hAnsi="Calibri"/>
              <w:b/>
              <w:bCs/>
              <w:szCs w:val="24"/>
            </w:rPr>
            <w:instrText xml:space="preserve"> NUMPAGES  \* Arabic  \* MERGEFORMAT </w:instrText>
          </w:r>
          <w:r w:rsidRPr="00B73B48">
            <w:rPr>
              <w:rFonts w:ascii="Calibri" w:hAnsi="Calibri"/>
              <w:b/>
              <w:bCs/>
              <w:szCs w:val="24"/>
            </w:rPr>
            <w:fldChar w:fldCharType="separate"/>
          </w:r>
          <w:r w:rsidR="001C310F">
            <w:rPr>
              <w:rFonts w:ascii="Calibri" w:hAnsi="Calibri"/>
              <w:b/>
              <w:bCs/>
              <w:noProof/>
              <w:szCs w:val="24"/>
            </w:rPr>
            <w:t>1</w:t>
          </w:r>
          <w:r w:rsidRPr="00B73B48">
            <w:rPr>
              <w:rFonts w:ascii="Calibri" w:hAnsi="Calibri"/>
              <w:b/>
              <w:bCs/>
              <w:szCs w:val="24"/>
            </w:rPr>
            <w:fldChar w:fldCharType="end"/>
          </w:r>
        </w:p>
      </w:tc>
    </w:tr>
    <w:tr w:rsidR="00B84A13" w:rsidRPr="00124A79" w:rsidTr="008B2D0B">
      <w:trPr>
        <w:trHeight w:val="333"/>
      </w:trPr>
      <w:tc>
        <w:tcPr>
          <w:tcW w:w="1620" w:type="dxa"/>
          <w:shd w:val="clear" w:color="auto" w:fill="D9D9D9" w:themeFill="background1" w:themeFillShade="D9"/>
          <w:vAlign w:val="center"/>
        </w:tcPr>
        <w:p w:rsidR="00B84A13" w:rsidRPr="008229C8" w:rsidRDefault="008229C8" w:rsidP="0018382F">
          <w:pPr>
            <w:spacing w:after="0" w:line="240" w:lineRule="auto"/>
            <w:rPr>
              <w:rFonts w:ascii="Calibri" w:hAnsi="Calibri"/>
              <w:szCs w:val="24"/>
            </w:rPr>
          </w:pPr>
          <w:r w:rsidRPr="008229C8">
            <w:rPr>
              <w:rFonts w:ascii="Calibri" w:hAnsi="Calibri"/>
              <w:b/>
              <w:szCs w:val="24"/>
            </w:rPr>
            <w:t>Issued by:</w:t>
          </w:r>
          <w:r w:rsidR="00B84A13" w:rsidRPr="008229C8">
            <w:rPr>
              <w:rFonts w:ascii="Calibri" w:hAnsi="Calibri"/>
              <w:szCs w:val="24"/>
            </w:rPr>
            <w:t xml:space="preserve"> </w:t>
          </w:r>
        </w:p>
      </w:tc>
      <w:tc>
        <w:tcPr>
          <w:tcW w:w="3600" w:type="dxa"/>
          <w:shd w:val="clear" w:color="auto" w:fill="auto"/>
          <w:vAlign w:val="center"/>
        </w:tcPr>
        <w:p w:rsidR="00B84A13" w:rsidRPr="00B73B48" w:rsidRDefault="00A27EA4" w:rsidP="0018382F">
          <w:pPr>
            <w:spacing w:after="0" w:line="240" w:lineRule="auto"/>
            <w:rPr>
              <w:rFonts w:ascii="Calibri" w:hAnsi="Calibri"/>
              <w:i/>
              <w:szCs w:val="24"/>
            </w:rPr>
          </w:pPr>
          <w:r>
            <w:rPr>
              <w:rFonts w:ascii="Calibri" w:hAnsi="Calibri"/>
              <w:i/>
              <w:szCs w:val="24"/>
            </w:rPr>
            <w:t>Professional Practice Council</w:t>
          </w:r>
        </w:p>
      </w:tc>
      <w:tc>
        <w:tcPr>
          <w:tcW w:w="1800" w:type="dxa"/>
          <w:shd w:val="clear" w:color="auto" w:fill="D9D9D9" w:themeFill="background1" w:themeFillShade="D9"/>
          <w:vAlign w:val="center"/>
        </w:tcPr>
        <w:p w:rsidR="00B84A13" w:rsidRPr="008229C8" w:rsidRDefault="00AA3B83" w:rsidP="0018382F">
          <w:pPr>
            <w:spacing w:after="0" w:line="240" w:lineRule="auto"/>
            <w:rPr>
              <w:rFonts w:ascii="Calibri" w:hAnsi="Calibri"/>
              <w:szCs w:val="24"/>
            </w:rPr>
          </w:pPr>
          <w:r>
            <w:rPr>
              <w:rFonts w:ascii="Calibri" w:hAnsi="Calibri"/>
              <w:b/>
              <w:szCs w:val="24"/>
            </w:rPr>
            <w:t>Issue D</w:t>
          </w:r>
          <w:r w:rsidRPr="008229C8">
            <w:rPr>
              <w:rFonts w:ascii="Calibri" w:hAnsi="Calibri"/>
              <w:b/>
              <w:szCs w:val="24"/>
            </w:rPr>
            <w:t>ate:</w:t>
          </w:r>
        </w:p>
      </w:tc>
      <w:tc>
        <w:tcPr>
          <w:tcW w:w="2070" w:type="dxa"/>
          <w:vAlign w:val="center"/>
        </w:tcPr>
        <w:p w:rsidR="00B84A13" w:rsidRPr="00B73B48" w:rsidRDefault="00E153BE" w:rsidP="00E153BE">
          <w:pPr>
            <w:spacing w:after="0" w:line="240" w:lineRule="auto"/>
            <w:rPr>
              <w:rFonts w:ascii="Calibri" w:hAnsi="Calibri"/>
              <w:i/>
              <w:szCs w:val="24"/>
            </w:rPr>
          </w:pPr>
          <w:r>
            <w:rPr>
              <w:rFonts w:ascii="Calibri" w:hAnsi="Calibri"/>
              <w:i/>
              <w:szCs w:val="24"/>
            </w:rPr>
            <w:t>01</w:t>
          </w:r>
          <w:r w:rsidR="00A27EA4">
            <w:rPr>
              <w:rFonts w:ascii="Calibri" w:hAnsi="Calibri"/>
              <w:i/>
              <w:szCs w:val="24"/>
            </w:rPr>
            <w:t>-</w:t>
          </w:r>
          <w:r>
            <w:rPr>
              <w:rFonts w:ascii="Calibri" w:hAnsi="Calibri"/>
              <w:i/>
              <w:szCs w:val="24"/>
            </w:rPr>
            <w:t>Feb</w:t>
          </w:r>
          <w:r w:rsidR="00A27EA4">
            <w:rPr>
              <w:rFonts w:ascii="Calibri" w:hAnsi="Calibri"/>
              <w:i/>
              <w:szCs w:val="24"/>
            </w:rPr>
            <w:t>-201</w:t>
          </w:r>
          <w:r>
            <w:rPr>
              <w:rFonts w:ascii="Calibri" w:hAnsi="Calibri"/>
              <w:i/>
              <w:szCs w:val="24"/>
            </w:rPr>
            <w:t>8</w:t>
          </w:r>
        </w:p>
      </w:tc>
    </w:tr>
    <w:tr w:rsidR="00AA3B83" w:rsidRPr="00124A79" w:rsidTr="008B2D0B">
      <w:trPr>
        <w:trHeight w:val="350"/>
      </w:trPr>
      <w:tc>
        <w:tcPr>
          <w:tcW w:w="1620" w:type="dxa"/>
          <w:shd w:val="clear" w:color="auto" w:fill="D9D9D9" w:themeFill="background1" w:themeFillShade="D9"/>
          <w:vAlign w:val="center"/>
        </w:tcPr>
        <w:p w:rsidR="00AA3B83" w:rsidRPr="008229C8" w:rsidRDefault="00AA3B83" w:rsidP="0018382F">
          <w:pPr>
            <w:spacing w:after="0" w:line="240" w:lineRule="auto"/>
            <w:ind w:left="1422" w:hanging="1422"/>
            <w:rPr>
              <w:rFonts w:ascii="Calibri" w:hAnsi="Calibri"/>
              <w:szCs w:val="24"/>
            </w:rPr>
          </w:pPr>
          <w:r w:rsidRPr="008229C8">
            <w:rPr>
              <w:rFonts w:ascii="Calibri" w:hAnsi="Calibri"/>
              <w:b/>
              <w:szCs w:val="24"/>
            </w:rPr>
            <w:t>Owner:</w:t>
          </w:r>
          <w:r w:rsidRPr="008229C8">
            <w:rPr>
              <w:rFonts w:ascii="Calibri" w:hAnsi="Calibri"/>
              <w:szCs w:val="24"/>
            </w:rPr>
            <w:t xml:space="preserve"> </w:t>
          </w:r>
        </w:p>
      </w:tc>
      <w:tc>
        <w:tcPr>
          <w:tcW w:w="3600" w:type="dxa"/>
          <w:shd w:val="clear" w:color="auto" w:fill="auto"/>
          <w:vAlign w:val="center"/>
        </w:tcPr>
        <w:p w:rsidR="00AA3B83" w:rsidRPr="00B73B48" w:rsidRDefault="00A27EA4" w:rsidP="00A27EA4">
          <w:pPr>
            <w:spacing w:after="0" w:line="240" w:lineRule="auto"/>
            <w:rPr>
              <w:rFonts w:ascii="Calibri" w:hAnsi="Calibri"/>
              <w:i/>
              <w:szCs w:val="24"/>
            </w:rPr>
          </w:pPr>
          <w:r>
            <w:rPr>
              <w:rFonts w:ascii="Calibri" w:hAnsi="Calibri"/>
              <w:i/>
              <w:szCs w:val="24"/>
            </w:rPr>
            <w:t>VP Clinical Services and Chief Executive Nursing Officer</w:t>
          </w:r>
        </w:p>
      </w:tc>
      <w:tc>
        <w:tcPr>
          <w:tcW w:w="1800" w:type="dxa"/>
          <w:shd w:val="clear" w:color="auto" w:fill="D9D9D9" w:themeFill="background1" w:themeFillShade="D9"/>
          <w:vAlign w:val="center"/>
        </w:tcPr>
        <w:p w:rsidR="00AA3B83" w:rsidRPr="00124A79" w:rsidRDefault="00AA3B83" w:rsidP="0018382F">
          <w:pPr>
            <w:spacing w:after="0" w:line="240" w:lineRule="auto"/>
            <w:rPr>
              <w:rFonts w:ascii="Calibri" w:hAnsi="Calibri"/>
              <w:szCs w:val="24"/>
            </w:rPr>
          </w:pPr>
          <w:r>
            <w:rPr>
              <w:rFonts w:ascii="Calibri" w:hAnsi="Calibri"/>
              <w:b/>
              <w:szCs w:val="24"/>
            </w:rPr>
            <w:t>Last A</w:t>
          </w:r>
          <w:r w:rsidRPr="008229C8">
            <w:rPr>
              <w:rFonts w:ascii="Calibri" w:hAnsi="Calibri"/>
              <w:b/>
              <w:szCs w:val="24"/>
            </w:rPr>
            <w:t>pproved:</w:t>
          </w:r>
        </w:p>
      </w:tc>
      <w:tc>
        <w:tcPr>
          <w:tcW w:w="2070" w:type="dxa"/>
          <w:vAlign w:val="center"/>
        </w:tcPr>
        <w:p w:rsidR="00AA3B83" w:rsidRPr="00B73B48" w:rsidRDefault="00C03394" w:rsidP="0068457A">
          <w:pPr>
            <w:spacing w:after="0" w:line="240" w:lineRule="auto"/>
            <w:rPr>
              <w:rFonts w:ascii="Calibri" w:hAnsi="Calibri"/>
              <w:i/>
              <w:szCs w:val="24"/>
            </w:rPr>
          </w:pPr>
          <w:r>
            <w:rPr>
              <w:rFonts w:ascii="Calibri" w:hAnsi="Calibri"/>
              <w:i/>
              <w:szCs w:val="24"/>
            </w:rPr>
            <w:t>28-Jan-2021</w:t>
          </w:r>
        </w:p>
      </w:tc>
    </w:tr>
  </w:tbl>
  <w:p w:rsidR="00124A79" w:rsidRPr="00124A79" w:rsidRDefault="00124A79" w:rsidP="0024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7B3"/>
    <w:multiLevelType w:val="multilevel"/>
    <w:tmpl w:val="F6E2DEB2"/>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6D95679"/>
    <w:multiLevelType w:val="hybridMultilevel"/>
    <w:tmpl w:val="4E8CB9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2563A2"/>
    <w:multiLevelType w:val="hybridMultilevel"/>
    <w:tmpl w:val="321818FC"/>
    <w:lvl w:ilvl="0" w:tplc="B6649A16">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D0356"/>
    <w:multiLevelType w:val="hybridMultilevel"/>
    <w:tmpl w:val="55C02818"/>
    <w:lvl w:ilvl="0" w:tplc="B6649A16">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0539D"/>
    <w:multiLevelType w:val="hybridMultilevel"/>
    <w:tmpl w:val="EDAA5832"/>
    <w:lvl w:ilvl="0" w:tplc="B6649A16">
      <w:start w:val="1"/>
      <w:numFmt w:val="lowerRoman"/>
      <w:lvlText w:val="%1."/>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23840F4"/>
    <w:multiLevelType w:val="hybridMultilevel"/>
    <w:tmpl w:val="4696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86A59"/>
    <w:multiLevelType w:val="hybridMultilevel"/>
    <w:tmpl w:val="664A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51C04"/>
    <w:multiLevelType w:val="hybridMultilevel"/>
    <w:tmpl w:val="D35E79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F70588"/>
    <w:multiLevelType w:val="hybridMultilevel"/>
    <w:tmpl w:val="B15A6F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3532AF"/>
    <w:multiLevelType w:val="hybridMultilevel"/>
    <w:tmpl w:val="4FF24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23E1F"/>
    <w:multiLevelType w:val="hybridMultilevel"/>
    <w:tmpl w:val="BBE2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04061"/>
    <w:multiLevelType w:val="hybridMultilevel"/>
    <w:tmpl w:val="E1422442"/>
    <w:lvl w:ilvl="0" w:tplc="3E66307E">
      <w:start w:val="1"/>
      <w:numFmt w:val="decimal"/>
      <w:lvlText w:val="%1."/>
      <w:lvlJc w:val="left"/>
      <w:pPr>
        <w:ind w:left="720" w:hanging="360"/>
      </w:pPr>
      <w:rPr>
        <w:b/>
      </w:rPr>
    </w:lvl>
    <w:lvl w:ilvl="1" w:tplc="724A14A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346A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1E64F1B"/>
    <w:multiLevelType w:val="hybridMultilevel"/>
    <w:tmpl w:val="6E18E638"/>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D0DE2"/>
    <w:multiLevelType w:val="hybridMultilevel"/>
    <w:tmpl w:val="1B3E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D2094"/>
    <w:multiLevelType w:val="hybridMultilevel"/>
    <w:tmpl w:val="2F00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03980"/>
    <w:multiLevelType w:val="hybridMultilevel"/>
    <w:tmpl w:val="F922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818C2"/>
    <w:multiLevelType w:val="hybridMultilevel"/>
    <w:tmpl w:val="FE68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133BC"/>
    <w:multiLevelType w:val="multilevel"/>
    <w:tmpl w:val="4CFE0BCC"/>
    <w:lvl w:ilvl="0">
      <w:start w:val="1"/>
      <w:numFmt w:val="lowerLetter"/>
      <w:lvlText w:val="%1."/>
      <w:lvlJc w:val="righ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55473FA6"/>
    <w:multiLevelType w:val="hybridMultilevel"/>
    <w:tmpl w:val="EF8ED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C93531"/>
    <w:multiLevelType w:val="hybridMultilevel"/>
    <w:tmpl w:val="A2C28696"/>
    <w:lvl w:ilvl="0" w:tplc="B6649A16">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12583B"/>
    <w:multiLevelType w:val="hybridMultilevel"/>
    <w:tmpl w:val="2FC6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63993"/>
    <w:multiLevelType w:val="hybridMultilevel"/>
    <w:tmpl w:val="F3B4D88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D7113"/>
    <w:multiLevelType w:val="hybridMultilevel"/>
    <w:tmpl w:val="CA20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707E7"/>
    <w:multiLevelType w:val="hybridMultilevel"/>
    <w:tmpl w:val="FFB682C4"/>
    <w:lvl w:ilvl="0" w:tplc="7304E436">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7174FC"/>
    <w:multiLevelType w:val="hybridMultilevel"/>
    <w:tmpl w:val="6602F49A"/>
    <w:lvl w:ilvl="0" w:tplc="90EACD2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16099"/>
    <w:multiLevelType w:val="hybridMultilevel"/>
    <w:tmpl w:val="36F8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E4B9B"/>
    <w:multiLevelType w:val="hybridMultilevel"/>
    <w:tmpl w:val="9CF2556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8"/>
  </w:num>
  <w:num w:numId="3">
    <w:abstractNumId w:val="11"/>
  </w:num>
  <w:num w:numId="4">
    <w:abstractNumId w:val="0"/>
  </w:num>
  <w:num w:numId="5">
    <w:abstractNumId w:val="14"/>
  </w:num>
  <w:num w:numId="6">
    <w:abstractNumId w:val="23"/>
  </w:num>
  <w:num w:numId="7">
    <w:abstractNumId w:val="21"/>
  </w:num>
  <w:num w:numId="8">
    <w:abstractNumId w:val="17"/>
  </w:num>
  <w:num w:numId="9">
    <w:abstractNumId w:val="26"/>
  </w:num>
  <w:num w:numId="10">
    <w:abstractNumId w:val="10"/>
  </w:num>
  <w:num w:numId="11">
    <w:abstractNumId w:val="5"/>
  </w:num>
  <w:num w:numId="12">
    <w:abstractNumId w:val="24"/>
  </w:num>
  <w:num w:numId="13">
    <w:abstractNumId w:val="16"/>
  </w:num>
  <w:num w:numId="14">
    <w:abstractNumId w:val="6"/>
  </w:num>
  <w:num w:numId="15">
    <w:abstractNumId w:val="15"/>
  </w:num>
  <w:num w:numId="16">
    <w:abstractNumId w:val="13"/>
  </w:num>
  <w:num w:numId="17">
    <w:abstractNumId w:val="18"/>
  </w:num>
  <w:num w:numId="18">
    <w:abstractNumId w:val="7"/>
  </w:num>
  <w:num w:numId="19">
    <w:abstractNumId w:val="1"/>
  </w:num>
  <w:num w:numId="20">
    <w:abstractNumId w:val="20"/>
  </w:num>
  <w:num w:numId="21">
    <w:abstractNumId w:val="2"/>
  </w:num>
  <w:num w:numId="22">
    <w:abstractNumId w:val="4"/>
  </w:num>
  <w:num w:numId="23">
    <w:abstractNumId w:val="3"/>
  </w:num>
  <w:num w:numId="24">
    <w:abstractNumId w:val="27"/>
  </w:num>
  <w:num w:numId="25">
    <w:abstractNumId w:val="19"/>
  </w:num>
  <w:num w:numId="26">
    <w:abstractNumId w:val="22"/>
  </w:num>
  <w:num w:numId="27">
    <w:abstractNumId w:val="1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79"/>
    <w:rsid w:val="00010178"/>
    <w:rsid w:val="000132DF"/>
    <w:rsid w:val="00013942"/>
    <w:rsid w:val="000432FE"/>
    <w:rsid w:val="000564D3"/>
    <w:rsid w:val="00094A3F"/>
    <w:rsid w:val="000F5BC1"/>
    <w:rsid w:val="000F7BE9"/>
    <w:rsid w:val="00124A79"/>
    <w:rsid w:val="00165CB8"/>
    <w:rsid w:val="0018382F"/>
    <w:rsid w:val="001A07A1"/>
    <w:rsid w:val="001C0337"/>
    <w:rsid w:val="001C310F"/>
    <w:rsid w:val="00245A4A"/>
    <w:rsid w:val="0025493C"/>
    <w:rsid w:val="00266220"/>
    <w:rsid w:val="00292C5B"/>
    <w:rsid w:val="002F2650"/>
    <w:rsid w:val="00343804"/>
    <w:rsid w:val="0034523E"/>
    <w:rsid w:val="003726BE"/>
    <w:rsid w:val="00383EBB"/>
    <w:rsid w:val="003A57D3"/>
    <w:rsid w:val="003C1A70"/>
    <w:rsid w:val="00407DE3"/>
    <w:rsid w:val="00412F6C"/>
    <w:rsid w:val="00420FCF"/>
    <w:rsid w:val="004314A5"/>
    <w:rsid w:val="00447015"/>
    <w:rsid w:val="00453F36"/>
    <w:rsid w:val="004700C8"/>
    <w:rsid w:val="00477FD9"/>
    <w:rsid w:val="004A0B40"/>
    <w:rsid w:val="004D7150"/>
    <w:rsid w:val="00501917"/>
    <w:rsid w:val="00513F9E"/>
    <w:rsid w:val="0051740A"/>
    <w:rsid w:val="005359CF"/>
    <w:rsid w:val="005460D3"/>
    <w:rsid w:val="00562CB0"/>
    <w:rsid w:val="005801A7"/>
    <w:rsid w:val="005A7F38"/>
    <w:rsid w:val="005B023F"/>
    <w:rsid w:val="005E7CC0"/>
    <w:rsid w:val="00615C23"/>
    <w:rsid w:val="00665982"/>
    <w:rsid w:val="0068457A"/>
    <w:rsid w:val="006870F2"/>
    <w:rsid w:val="006928ED"/>
    <w:rsid w:val="0070507C"/>
    <w:rsid w:val="00710B32"/>
    <w:rsid w:val="00726CB2"/>
    <w:rsid w:val="00731BD5"/>
    <w:rsid w:val="00774E82"/>
    <w:rsid w:val="008229C8"/>
    <w:rsid w:val="00826B86"/>
    <w:rsid w:val="00847A75"/>
    <w:rsid w:val="0086171F"/>
    <w:rsid w:val="00862CBE"/>
    <w:rsid w:val="008B24E2"/>
    <w:rsid w:val="008B2D0B"/>
    <w:rsid w:val="00911AFD"/>
    <w:rsid w:val="009340D6"/>
    <w:rsid w:val="00974452"/>
    <w:rsid w:val="009D641D"/>
    <w:rsid w:val="00A2035C"/>
    <w:rsid w:val="00A27EA4"/>
    <w:rsid w:val="00A33A7B"/>
    <w:rsid w:val="00A568CA"/>
    <w:rsid w:val="00A62DD3"/>
    <w:rsid w:val="00A65CFD"/>
    <w:rsid w:val="00A849B3"/>
    <w:rsid w:val="00A866F4"/>
    <w:rsid w:val="00AA3B83"/>
    <w:rsid w:val="00AC0E4F"/>
    <w:rsid w:val="00B05D6E"/>
    <w:rsid w:val="00B2105A"/>
    <w:rsid w:val="00B31CAA"/>
    <w:rsid w:val="00B45776"/>
    <w:rsid w:val="00B73B48"/>
    <w:rsid w:val="00B84A13"/>
    <w:rsid w:val="00BB4B5C"/>
    <w:rsid w:val="00BC1724"/>
    <w:rsid w:val="00BF0088"/>
    <w:rsid w:val="00C03394"/>
    <w:rsid w:val="00CE5EDA"/>
    <w:rsid w:val="00D0233B"/>
    <w:rsid w:val="00D25421"/>
    <w:rsid w:val="00D259C9"/>
    <w:rsid w:val="00D559FA"/>
    <w:rsid w:val="00D632DA"/>
    <w:rsid w:val="00DB21BC"/>
    <w:rsid w:val="00DB6249"/>
    <w:rsid w:val="00DC0833"/>
    <w:rsid w:val="00DE0EF5"/>
    <w:rsid w:val="00DE7EA9"/>
    <w:rsid w:val="00E153BE"/>
    <w:rsid w:val="00E51496"/>
    <w:rsid w:val="00E93501"/>
    <w:rsid w:val="00EB2881"/>
    <w:rsid w:val="00EF1DC6"/>
    <w:rsid w:val="00F0728C"/>
    <w:rsid w:val="00F13A26"/>
    <w:rsid w:val="00F30CBF"/>
    <w:rsid w:val="00F61236"/>
    <w:rsid w:val="00F67A5F"/>
    <w:rsid w:val="00F81787"/>
    <w:rsid w:val="00F8582E"/>
    <w:rsid w:val="00FB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0A0CFEB-BF35-4087-B0ED-41EA1FD9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haragraph"/>
    <w:qFormat/>
    <w:rsid w:val="00412F6C"/>
    <w:rPr>
      <w:rFonts w:asciiTheme="minorHAnsi" w:hAnsiTheme="minorHAnsi" w:cs="Times New Roman"/>
      <w:szCs w:val="20"/>
    </w:rPr>
  </w:style>
  <w:style w:type="paragraph" w:styleId="Heading1">
    <w:name w:val="heading 1"/>
    <w:basedOn w:val="Normal"/>
    <w:next w:val="Normal"/>
    <w:link w:val="Heading1Char"/>
    <w:uiPriority w:val="9"/>
    <w:qFormat/>
    <w:rsid w:val="00412F6C"/>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24A79"/>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3A26"/>
    <w:pPr>
      <w:spacing w:after="0" w:line="240" w:lineRule="auto"/>
    </w:pPr>
    <w:rPr>
      <w:rFonts w:asciiTheme="minorHAnsi" w:hAnsiTheme="minorHAnsi" w:cs="Times New Roman"/>
      <w:color w:val="003399"/>
      <w:szCs w:val="20"/>
    </w:rPr>
  </w:style>
  <w:style w:type="character" w:customStyle="1" w:styleId="Heading1Char">
    <w:name w:val="Heading 1 Char"/>
    <w:basedOn w:val="DefaultParagraphFont"/>
    <w:link w:val="Heading1"/>
    <w:uiPriority w:val="9"/>
    <w:rsid w:val="00412F6C"/>
    <w:rPr>
      <w:rFonts w:asciiTheme="minorHAnsi" w:eastAsiaTheme="majorEastAsia" w:hAnsiTheme="minorHAnsi" w:cstheme="majorBidi"/>
      <w:b/>
      <w:bCs/>
      <w:sz w:val="28"/>
      <w:szCs w:val="28"/>
    </w:rPr>
  </w:style>
  <w:style w:type="character" w:customStyle="1" w:styleId="Heading2Char">
    <w:name w:val="Heading 2 Char"/>
    <w:basedOn w:val="DefaultParagraphFont"/>
    <w:link w:val="Heading2"/>
    <w:uiPriority w:val="9"/>
    <w:rsid w:val="00124A79"/>
    <w:rPr>
      <w:rFonts w:asciiTheme="minorHAnsi" w:eastAsiaTheme="majorEastAsia" w:hAnsiTheme="minorHAnsi" w:cstheme="majorBidi"/>
      <w:bCs/>
      <w:szCs w:val="26"/>
    </w:rPr>
  </w:style>
  <w:style w:type="paragraph" w:styleId="Title">
    <w:name w:val="Title"/>
    <w:basedOn w:val="Normal"/>
    <w:next w:val="Normal"/>
    <w:link w:val="TitleChar"/>
    <w:uiPriority w:val="10"/>
    <w:rsid w:val="00124A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4A79"/>
    <w:rPr>
      <w:rFonts w:asciiTheme="majorHAnsi" w:eastAsiaTheme="majorEastAsia" w:hAnsiTheme="majorHAnsi" w:cstheme="majorBidi"/>
      <w:b/>
      <w:color w:val="17365D" w:themeColor="text2" w:themeShade="BF"/>
      <w:spacing w:val="5"/>
      <w:kern w:val="28"/>
      <w:sz w:val="52"/>
      <w:szCs w:val="52"/>
    </w:rPr>
  </w:style>
  <w:style w:type="paragraph" w:styleId="Subtitle">
    <w:name w:val="Subtitle"/>
    <w:basedOn w:val="Normal"/>
    <w:next w:val="Normal"/>
    <w:link w:val="SubtitleChar"/>
    <w:uiPriority w:val="11"/>
    <w:rsid w:val="00124A7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4A79"/>
    <w:rPr>
      <w:rFonts w:asciiTheme="majorHAnsi" w:eastAsiaTheme="majorEastAsia" w:hAnsiTheme="majorHAnsi" w:cstheme="majorBidi"/>
      <w:b/>
      <w:i/>
      <w:iCs/>
      <w:color w:val="4F81BD" w:themeColor="accent1"/>
      <w:spacing w:val="15"/>
      <w:szCs w:val="24"/>
    </w:rPr>
  </w:style>
  <w:style w:type="character" w:styleId="Emphasis">
    <w:name w:val="Emphasis"/>
    <w:basedOn w:val="DefaultParagraphFont"/>
    <w:uiPriority w:val="20"/>
    <w:qFormat/>
    <w:rsid w:val="00124A79"/>
    <w:rPr>
      <w:rFonts w:asciiTheme="minorHAnsi" w:hAnsiTheme="minorHAnsi"/>
      <w:i/>
      <w:iCs/>
      <w:sz w:val="24"/>
    </w:rPr>
  </w:style>
  <w:style w:type="character" w:styleId="IntenseEmphasis">
    <w:name w:val="Intense Emphasis"/>
    <w:basedOn w:val="DefaultParagraphFont"/>
    <w:uiPriority w:val="21"/>
    <w:rsid w:val="00124A79"/>
    <w:rPr>
      <w:b/>
      <w:bCs/>
      <w:i/>
      <w:iCs/>
      <w:color w:val="4F81BD" w:themeColor="accent1"/>
    </w:rPr>
  </w:style>
  <w:style w:type="character" w:styleId="Strong">
    <w:name w:val="Strong"/>
    <w:basedOn w:val="DefaultParagraphFont"/>
    <w:uiPriority w:val="22"/>
    <w:rsid w:val="00124A79"/>
    <w:rPr>
      <w:b/>
      <w:bCs/>
    </w:rPr>
  </w:style>
  <w:style w:type="paragraph" w:styleId="Quote">
    <w:name w:val="Quote"/>
    <w:basedOn w:val="Normal"/>
    <w:next w:val="Normal"/>
    <w:link w:val="QuoteChar"/>
    <w:uiPriority w:val="29"/>
    <w:rsid w:val="00124A79"/>
    <w:rPr>
      <w:i/>
      <w:iCs/>
      <w:color w:val="000000" w:themeColor="text1"/>
    </w:rPr>
  </w:style>
  <w:style w:type="character" w:customStyle="1" w:styleId="QuoteChar">
    <w:name w:val="Quote Char"/>
    <w:basedOn w:val="DefaultParagraphFont"/>
    <w:link w:val="Quote"/>
    <w:uiPriority w:val="29"/>
    <w:rsid w:val="00124A79"/>
    <w:rPr>
      <w:rFonts w:asciiTheme="minorHAnsi" w:hAnsiTheme="minorHAnsi" w:cs="Times New Roman"/>
      <w:b/>
      <w:i/>
      <w:iCs/>
      <w:color w:val="000000" w:themeColor="text1"/>
      <w:szCs w:val="20"/>
    </w:rPr>
  </w:style>
  <w:style w:type="paragraph" w:styleId="IntenseQuote">
    <w:name w:val="Intense Quote"/>
    <w:basedOn w:val="Normal"/>
    <w:next w:val="Normal"/>
    <w:link w:val="IntenseQuoteChar"/>
    <w:uiPriority w:val="30"/>
    <w:rsid w:val="00124A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24A79"/>
    <w:rPr>
      <w:rFonts w:asciiTheme="minorHAnsi" w:hAnsiTheme="minorHAnsi" w:cs="Times New Roman"/>
      <w:bCs/>
      <w:i/>
      <w:iCs/>
      <w:color w:val="4F81BD" w:themeColor="accent1"/>
      <w:szCs w:val="20"/>
    </w:rPr>
  </w:style>
  <w:style w:type="character" w:styleId="SubtleReference">
    <w:name w:val="Subtle Reference"/>
    <w:basedOn w:val="DefaultParagraphFont"/>
    <w:uiPriority w:val="31"/>
    <w:rsid w:val="00124A79"/>
    <w:rPr>
      <w:smallCaps/>
      <w:color w:val="C0504D" w:themeColor="accent2"/>
      <w:u w:val="single"/>
    </w:rPr>
  </w:style>
  <w:style w:type="character" w:styleId="BookTitle">
    <w:name w:val="Book Title"/>
    <w:basedOn w:val="DefaultParagraphFont"/>
    <w:uiPriority w:val="33"/>
    <w:rsid w:val="00124A79"/>
    <w:rPr>
      <w:b/>
      <w:bCs/>
      <w:smallCaps/>
      <w:spacing w:val="5"/>
    </w:rPr>
  </w:style>
  <w:style w:type="paragraph" w:styleId="ListParagraph">
    <w:name w:val="List Paragraph"/>
    <w:basedOn w:val="Normal"/>
    <w:uiPriority w:val="34"/>
    <w:rsid w:val="00124A79"/>
    <w:pPr>
      <w:ind w:left="720"/>
      <w:contextualSpacing/>
    </w:pPr>
  </w:style>
  <w:style w:type="paragraph" w:styleId="Header">
    <w:name w:val="header"/>
    <w:basedOn w:val="Normal"/>
    <w:link w:val="HeaderChar"/>
    <w:unhideWhenUsed/>
    <w:rsid w:val="00124A79"/>
    <w:pPr>
      <w:tabs>
        <w:tab w:val="center" w:pos="4680"/>
        <w:tab w:val="right" w:pos="9360"/>
      </w:tabs>
      <w:spacing w:after="0" w:line="240" w:lineRule="auto"/>
    </w:pPr>
  </w:style>
  <w:style w:type="character" w:customStyle="1" w:styleId="HeaderChar">
    <w:name w:val="Header Char"/>
    <w:basedOn w:val="DefaultParagraphFont"/>
    <w:link w:val="Header"/>
    <w:rsid w:val="00124A79"/>
    <w:rPr>
      <w:rFonts w:asciiTheme="minorHAnsi" w:hAnsiTheme="minorHAnsi" w:cs="Times New Roman"/>
      <w:b/>
      <w:szCs w:val="20"/>
    </w:rPr>
  </w:style>
  <w:style w:type="paragraph" w:styleId="Footer">
    <w:name w:val="footer"/>
    <w:basedOn w:val="Normal"/>
    <w:link w:val="FooterChar"/>
    <w:uiPriority w:val="99"/>
    <w:unhideWhenUsed/>
    <w:rsid w:val="00124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A79"/>
    <w:rPr>
      <w:rFonts w:asciiTheme="minorHAnsi" w:hAnsiTheme="minorHAnsi" w:cs="Times New Roman"/>
      <w:b/>
      <w:szCs w:val="20"/>
    </w:rPr>
  </w:style>
  <w:style w:type="paragraph" w:styleId="BalloonText">
    <w:name w:val="Balloon Text"/>
    <w:basedOn w:val="Normal"/>
    <w:link w:val="BalloonTextChar"/>
    <w:uiPriority w:val="99"/>
    <w:semiHidden/>
    <w:unhideWhenUsed/>
    <w:rsid w:val="00705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7C"/>
    <w:rPr>
      <w:rFonts w:ascii="Segoe UI" w:hAnsi="Segoe UI" w:cs="Segoe UI"/>
      <w:sz w:val="18"/>
      <w:szCs w:val="18"/>
    </w:rPr>
  </w:style>
  <w:style w:type="character" w:styleId="CommentReference">
    <w:name w:val="annotation reference"/>
    <w:basedOn w:val="DefaultParagraphFont"/>
    <w:uiPriority w:val="99"/>
    <w:semiHidden/>
    <w:unhideWhenUsed/>
    <w:rsid w:val="00513F9E"/>
    <w:rPr>
      <w:sz w:val="16"/>
      <w:szCs w:val="16"/>
    </w:rPr>
  </w:style>
  <w:style w:type="paragraph" w:styleId="CommentText">
    <w:name w:val="annotation text"/>
    <w:basedOn w:val="Normal"/>
    <w:link w:val="CommentTextChar"/>
    <w:uiPriority w:val="99"/>
    <w:semiHidden/>
    <w:unhideWhenUsed/>
    <w:rsid w:val="00513F9E"/>
    <w:pPr>
      <w:spacing w:line="240" w:lineRule="auto"/>
    </w:pPr>
    <w:rPr>
      <w:sz w:val="20"/>
    </w:rPr>
  </w:style>
  <w:style w:type="character" w:customStyle="1" w:styleId="CommentTextChar">
    <w:name w:val="Comment Text Char"/>
    <w:basedOn w:val="DefaultParagraphFont"/>
    <w:link w:val="CommentText"/>
    <w:uiPriority w:val="99"/>
    <w:semiHidden/>
    <w:rsid w:val="00513F9E"/>
    <w:rPr>
      <w:rFonts w:asciiTheme="minorHAnsi"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513F9E"/>
    <w:rPr>
      <w:b/>
      <w:bCs/>
    </w:rPr>
  </w:style>
  <w:style w:type="character" w:customStyle="1" w:styleId="CommentSubjectChar">
    <w:name w:val="Comment Subject Char"/>
    <w:basedOn w:val="CommentTextChar"/>
    <w:link w:val="CommentSubject"/>
    <w:uiPriority w:val="99"/>
    <w:semiHidden/>
    <w:rsid w:val="00513F9E"/>
    <w:rPr>
      <w:rFonts w:asciiTheme="minorHAnsi" w:hAnsiTheme="minorHAnsi" w:cs="Times New Roman"/>
      <w:b/>
      <w:bCs/>
      <w:sz w:val="20"/>
      <w:szCs w:val="20"/>
    </w:rPr>
  </w:style>
  <w:style w:type="paragraph" w:styleId="NormalWeb">
    <w:name w:val="Normal (Web)"/>
    <w:basedOn w:val="Normal"/>
    <w:uiPriority w:val="99"/>
    <w:unhideWhenUsed/>
    <w:rsid w:val="00A27EA4"/>
    <w:pPr>
      <w:spacing w:before="100" w:beforeAutospacing="1" w:after="100" w:afterAutospacing="1" w:line="240" w:lineRule="auto"/>
    </w:pPr>
    <w:rPr>
      <w:rFonts w:ascii="Arial" w:hAnsi="Arial" w:cs="Arial"/>
      <w:color w:val="333333"/>
      <w:sz w:val="18"/>
      <w:szCs w:val="18"/>
    </w:rPr>
  </w:style>
  <w:style w:type="character" w:styleId="Hyperlink">
    <w:name w:val="Hyperlink"/>
    <w:basedOn w:val="DefaultParagraphFont"/>
    <w:uiPriority w:val="99"/>
    <w:unhideWhenUsed/>
    <w:rsid w:val="00F30CBF"/>
    <w:rPr>
      <w:color w:val="0000FF" w:themeColor="hyperlink"/>
      <w:u w:val="single"/>
    </w:rPr>
  </w:style>
  <w:style w:type="character" w:styleId="FollowedHyperlink">
    <w:name w:val="FollowedHyperlink"/>
    <w:basedOn w:val="DefaultParagraphFont"/>
    <w:uiPriority w:val="99"/>
    <w:semiHidden/>
    <w:unhideWhenUsed/>
    <w:rsid w:val="00826B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Nicole</dc:creator>
  <cp:lastModifiedBy>Hoffmeyer, Lynda R</cp:lastModifiedBy>
  <cp:revision>2</cp:revision>
  <cp:lastPrinted>2021-01-29T16:10:00Z</cp:lastPrinted>
  <dcterms:created xsi:type="dcterms:W3CDTF">2021-10-18T14:16:00Z</dcterms:created>
  <dcterms:modified xsi:type="dcterms:W3CDTF">2021-10-18T14:16:00Z</dcterms:modified>
</cp:coreProperties>
</file>